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napToGrid w:val="0"/>
        <w:jc w:val="right"/>
        <w:rPr>
          <w:sz w:val="30"/>
          <w:szCs w:val="30"/>
        </w:rPr>
      </w:pPr>
    </w:p>
    <w:p>
      <w:pPr>
        <w:pStyle w:val="4"/>
        <w:snapToGrid w:val="0"/>
        <w:rPr>
          <w:sz w:val="13"/>
          <w:szCs w:val="13"/>
        </w:rPr>
      </w:pPr>
    </w:p>
    <w:p>
      <w:pPr>
        <w:snapToGrid w:val="0"/>
        <w:spacing w:line="257" w:lineRule="auto"/>
        <w:rPr>
          <w:sz w:val="32"/>
          <w:szCs w:val="32"/>
        </w:rPr>
      </w:pPr>
      <w:r>
        <w:rPr>
          <w:sz w:val="32"/>
          <w:szCs w:val="32"/>
        </w:rPr>
        <w:drawing>
          <wp:anchor distT="0" distB="0" distL="114300" distR="114300" simplePos="0" relativeHeight="251659264" behindDoc="1" locked="0" layoutInCell="1" allowOverlap="1">
            <wp:simplePos x="0" y="0"/>
            <wp:positionH relativeFrom="column">
              <wp:posOffset>3810</wp:posOffset>
            </wp:positionH>
            <wp:positionV relativeFrom="paragraph">
              <wp:posOffset>-309880</wp:posOffset>
            </wp:positionV>
            <wp:extent cx="5608320" cy="2753360"/>
            <wp:effectExtent l="19050" t="0" r="0" b="0"/>
            <wp:wrapNone/>
            <wp:docPr id="29" name="图片 29" descr="2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descr="20001"/>
                    <pic:cNvPicPr>
                      <a:picLocks noChangeAspect="1" noChangeArrowheads="1"/>
                    </pic:cNvPicPr>
                  </pic:nvPicPr>
                  <pic:blipFill>
                    <a:blip r:embed="rId6"/>
                    <a:srcRect/>
                    <a:stretch>
                      <a:fillRect/>
                    </a:stretch>
                  </pic:blipFill>
                  <pic:spPr>
                    <a:xfrm>
                      <a:off x="0" y="0"/>
                      <a:ext cx="5608320" cy="2753360"/>
                    </a:xfrm>
                    <a:prstGeom prst="rect">
                      <a:avLst/>
                    </a:prstGeom>
                    <a:noFill/>
                  </pic:spPr>
                </pic:pic>
              </a:graphicData>
            </a:graphic>
          </wp:anchor>
        </w:drawing>
      </w:r>
    </w:p>
    <w:p>
      <w:pPr>
        <w:pStyle w:val="4"/>
        <w:snapToGrid w:val="0"/>
        <w:spacing w:line="257" w:lineRule="auto"/>
        <w:rPr>
          <w:sz w:val="32"/>
          <w:szCs w:val="32"/>
        </w:rPr>
      </w:pPr>
    </w:p>
    <w:p>
      <w:pPr>
        <w:snapToGrid w:val="0"/>
        <w:spacing w:line="257" w:lineRule="auto"/>
        <w:rPr>
          <w:sz w:val="32"/>
          <w:szCs w:val="32"/>
        </w:rPr>
      </w:pPr>
    </w:p>
    <w:p>
      <w:pPr>
        <w:snapToGrid w:val="0"/>
        <w:spacing w:line="257" w:lineRule="auto"/>
        <w:rPr>
          <w:sz w:val="32"/>
          <w:szCs w:val="32"/>
        </w:rPr>
      </w:pPr>
    </w:p>
    <w:p>
      <w:pPr>
        <w:snapToGrid w:val="0"/>
        <w:spacing w:line="257" w:lineRule="auto"/>
        <w:rPr>
          <w:sz w:val="32"/>
          <w:szCs w:val="32"/>
        </w:rPr>
      </w:pPr>
    </w:p>
    <w:p>
      <w:pPr>
        <w:snapToGrid w:val="0"/>
        <w:spacing w:line="257" w:lineRule="auto"/>
        <w:rPr>
          <w:sz w:val="32"/>
          <w:szCs w:val="32"/>
        </w:rPr>
      </w:pPr>
    </w:p>
    <w:p>
      <w:pPr>
        <w:snapToGrid w:val="0"/>
        <w:spacing w:line="257" w:lineRule="auto"/>
        <w:rPr>
          <w:sz w:val="32"/>
          <w:szCs w:val="32"/>
        </w:rPr>
      </w:pPr>
    </w:p>
    <w:p>
      <w:pPr>
        <w:snapToGrid w:val="0"/>
        <w:spacing w:line="257" w:lineRule="auto"/>
        <w:rPr>
          <w:sz w:val="28"/>
          <w:szCs w:val="28"/>
        </w:rPr>
      </w:pPr>
    </w:p>
    <w:p>
      <w:pPr>
        <w:snapToGrid w:val="0"/>
        <w:jc w:val="center"/>
        <w:outlineLvl w:val="0"/>
        <w:rPr>
          <w:rFonts w:eastAsia="方正仿宋_GBK"/>
          <w:sz w:val="32"/>
        </w:rPr>
      </w:pPr>
      <w:r>
        <w:rPr>
          <w:rFonts w:eastAsia="方正仿宋_GBK"/>
          <w:sz w:val="32"/>
        </w:rPr>
        <w:t>温政办〔201</w:t>
      </w:r>
      <w:r>
        <w:rPr>
          <w:rFonts w:hint="eastAsia" w:eastAsia="方正仿宋_GBK"/>
          <w:sz w:val="32"/>
        </w:rPr>
        <w:t>8</w:t>
      </w:r>
      <w:r>
        <w:rPr>
          <w:rFonts w:eastAsia="方正仿宋_GBK"/>
          <w:sz w:val="32"/>
        </w:rPr>
        <w:t>〕</w:t>
      </w:r>
      <w:r>
        <w:rPr>
          <w:rFonts w:hint="eastAsia" w:eastAsia="方正仿宋_GBK"/>
          <w:sz w:val="32"/>
        </w:rPr>
        <w:t>15</w:t>
      </w:r>
      <w:r>
        <w:rPr>
          <w:rFonts w:eastAsia="方正仿宋_GBK"/>
          <w:sz w:val="32"/>
        </w:rPr>
        <w:t>号</w:t>
      </w:r>
    </w:p>
    <w:p>
      <w:pPr>
        <w:pStyle w:val="4"/>
        <w:snapToGrid w:val="0"/>
        <w:spacing w:line="348" w:lineRule="auto"/>
      </w:pPr>
    </w:p>
    <w:p>
      <w:pPr>
        <w:pStyle w:val="4"/>
        <w:snapToGrid w:val="0"/>
        <w:spacing w:line="348" w:lineRule="auto"/>
      </w:pPr>
    </w:p>
    <w:p>
      <w:pPr>
        <w:pStyle w:val="4"/>
        <w:snapToGrid w:val="0"/>
        <w:spacing w:line="324" w:lineRule="auto"/>
      </w:pPr>
    </w:p>
    <w:p>
      <w:pPr>
        <w:pStyle w:val="4"/>
        <w:snapToGrid w:val="0"/>
        <w:spacing w:line="324" w:lineRule="auto"/>
      </w:pPr>
    </w:p>
    <w:p>
      <w:pPr>
        <w:widowControl/>
        <w:snapToGrid w:val="0"/>
        <w:jc w:val="center"/>
        <w:rPr>
          <w:rFonts w:hint="eastAsia" w:ascii="方正大标宋_GBK" w:hAnsi="新宋体" w:eastAsia="方正大标宋_GBK"/>
          <w:sz w:val="44"/>
          <w:szCs w:val="44"/>
        </w:rPr>
      </w:pPr>
      <w:r>
        <w:rPr>
          <w:rFonts w:hint="eastAsia" w:ascii="方正大标宋_GBK" w:eastAsia="方正大标宋_GBK"/>
          <w:sz w:val="44"/>
          <w:szCs w:val="44"/>
        </w:rPr>
        <w:t>温州市人民政府办公室</w:t>
      </w:r>
      <w:r>
        <w:rPr>
          <w:rFonts w:hint="eastAsia" w:ascii="方正大标宋_GBK" w:eastAsia="方正大标宋_GBK"/>
          <w:bCs/>
          <w:sz w:val="44"/>
          <w:szCs w:val="44"/>
        </w:rPr>
        <w:t>关于</w:t>
      </w:r>
      <w:r>
        <w:rPr>
          <w:rFonts w:hint="eastAsia" w:ascii="方正大标宋_GBK" w:hAnsi="新宋体" w:eastAsia="方正大标宋_GBK"/>
          <w:sz w:val="44"/>
          <w:szCs w:val="44"/>
        </w:rPr>
        <w:t>转发</w:t>
      </w:r>
    </w:p>
    <w:p>
      <w:pPr>
        <w:widowControl/>
        <w:snapToGrid w:val="0"/>
        <w:jc w:val="center"/>
        <w:rPr>
          <w:rFonts w:hint="eastAsia" w:ascii="方正大标宋_GBK" w:hAnsi="新宋体" w:eastAsia="方正大标宋_GBK"/>
          <w:sz w:val="44"/>
          <w:szCs w:val="44"/>
        </w:rPr>
      </w:pPr>
      <w:r>
        <w:rPr>
          <w:rFonts w:hint="eastAsia" w:ascii="方正大标宋_GBK" w:hAnsi="新宋体" w:eastAsia="方正大标宋_GBK"/>
          <w:sz w:val="44"/>
          <w:szCs w:val="44"/>
        </w:rPr>
        <w:t>市财政局温州市市级机关会议费管理规定和</w:t>
      </w:r>
    </w:p>
    <w:p>
      <w:pPr>
        <w:widowControl/>
        <w:snapToGrid w:val="0"/>
        <w:jc w:val="center"/>
        <w:rPr>
          <w:rFonts w:hint="eastAsia" w:ascii="方正大标宋_GBK" w:hAnsi="新宋体" w:eastAsia="方正大标宋_GBK"/>
          <w:sz w:val="44"/>
          <w:szCs w:val="44"/>
        </w:rPr>
      </w:pPr>
      <w:r>
        <w:rPr>
          <w:rFonts w:hint="eastAsia" w:ascii="方正大标宋_GBK" w:hAnsi="新宋体" w:eastAsia="方正大标宋_GBK"/>
          <w:sz w:val="44"/>
          <w:szCs w:val="44"/>
        </w:rPr>
        <w:t>温州市市级机关培训费管理规定的通知</w:t>
      </w:r>
    </w:p>
    <w:p>
      <w:pPr>
        <w:widowControl/>
        <w:snapToGrid w:val="0"/>
        <w:jc w:val="center"/>
        <w:rPr>
          <w:rFonts w:eastAsia="方正大标宋_GBK"/>
          <w:bCs/>
          <w:sz w:val="44"/>
          <w:szCs w:val="44"/>
        </w:rPr>
      </w:pPr>
    </w:p>
    <w:p>
      <w:pPr>
        <w:snapToGrid w:val="0"/>
        <w:spacing w:line="576" w:lineRule="exact"/>
        <w:rPr>
          <w:rFonts w:hint="eastAsia" w:ascii="方正仿宋_GBK" w:eastAsia="方正仿宋_GBK"/>
          <w:spacing w:val="-4"/>
          <w:sz w:val="32"/>
          <w:szCs w:val="32"/>
        </w:rPr>
      </w:pPr>
      <w:r>
        <w:rPr>
          <w:rFonts w:hint="eastAsia" w:ascii="方正仿宋_GBK" w:eastAsia="方正仿宋_GBK"/>
          <w:spacing w:val="-4"/>
          <w:sz w:val="32"/>
          <w:szCs w:val="32"/>
        </w:rPr>
        <w:t>市政府直属各单位：</w:t>
      </w:r>
    </w:p>
    <w:p>
      <w:pPr>
        <w:snapToGrid w:val="0"/>
        <w:spacing w:line="576" w:lineRule="exact"/>
        <w:ind w:firstLine="708" w:firstLineChars="227"/>
        <w:jc w:val="left"/>
        <w:rPr>
          <w:rFonts w:hint="eastAsia" w:ascii="方正仿宋_GBK" w:hAnsi="宋体" w:eastAsia="方正仿宋_GBK" w:cs="宋体"/>
          <w:color w:val="000000"/>
          <w:spacing w:val="-4"/>
          <w:sz w:val="32"/>
          <w:szCs w:val="32"/>
        </w:rPr>
      </w:pPr>
      <w:r>
        <w:rPr>
          <w:rFonts w:hint="eastAsia" w:ascii="方正仿宋_GBK" w:hAnsi="宋体" w:eastAsia="方正仿宋_GBK" w:cs="宋体"/>
          <w:color w:val="000000"/>
          <w:spacing w:val="-4"/>
          <w:sz w:val="32"/>
          <w:szCs w:val="32"/>
        </w:rPr>
        <w:t>市财政局《温州市市级机关会议费管理规定》《温州市市级机关培训费管理规定》已经市政府同意，现转发给你们，请认真遵照执行。</w:t>
      </w:r>
    </w:p>
    <w:p>
      <w:pPr>
        <w:snapToGrid w:val="0"/>
        <w:rPr>
          <w:rFonts w:ascii="仿宋_GB2312" w:eastAsia="仿宋_GB2312"/>
          <w:spacing w:val="-4"/>
          <w:sz w:val="32"/>
          <w:szCs w:val="32"/>
        </w:rPr>
      </w:pPr>
    </w:p>
    <w:p>
      <w:pPr>
        <w:snapToGrid w:val="0"/>
        <w:rPr>
          <w:rFonts w:ascii="仿宋_GB2312" w:eastAsia="仿宋_GB2312"/>
          <w:spacing w:val="-4"/>
          <w:sz w:val="32"/>
          <w:szCs w:val="32"/>
        </w:rPr>
      </w:pPr>
    </w:p>
    <w:p>
      <w:pPr>
        <w:snapToGrid w:val="0"/>
        <w:rPr>
          <w:rFonts w:ascii="仿宋_GB2312" w:eastAsia="仿宋_GB2312"/>
          <w:spacing w:val="-4"/>
          <w:sz w:val="32"/>
          <w:szCs w:val="32"/>
        </w:rPr>
      </w:pPr>
    </w:p>
    <w:p>
      <w:pPr>
        <w:autoSpaceDE w:val="0"/>
        <w:autoSpaceDN w:val="0"/>
        <w:adjustRightInd w:val="0"/>
        <w:snapToGrid w:val="0"/>
        <w:spacing w:line="560" w:lineRule="exact"/>
        <w:ind w:firstLine="4680" w:firstLineChars="1500"/>
        <w:rPr>
          <w:rFonts w:eastAsia="方正仿宋_GBK"/>
          <w:spacing w:val="-4"/>
          <w:sz w:val="32"/>
        </w:rPr>
      </w:pPr>
      <w:r>
        <w:rPr>
          <w:rFonts w:eastAsia="方正仿宋_GBK"/>
          <w:spacing w:val="-4"/>
          <w:sz w:val="32"/>
        </w:rPr>
        <w:t>温州市人民政府办公室</w:t>
      </w:r>
    </w:p>
    <w:p>
      <w:pPr>
        <w:autoSpaceDE w:val="0"/>
        <w:autoSpaceDN w:val="0"/>
        <w:adjustRightInd w:val="0"/>
        <w:snapToGrid w:val="0"/>
        <w:spacing w:line="560" w:lineRule="exact"/>
        <w:ind w:right="1105" w:rightChars="526"/>
        <w:rPr>
          <w:rFonts w:eastAsia="方正仿宋_GBK"/>
          <w:spacing w:val="40"/>
          <w:sz w:val="32"/>
        </w:rPr>
        <w:sectPr>
          <w:footerReference r:id="rId3" w:type="default"/>
          <w:footerReference r:id="rId4" w:type="even"/>
          <w:pgSz w:w="11907" w:h="16840"/>
          <w:pgMar w:top="2155" w:right="1531" w:bottom="1985" w:left="1531" w:header="851" w:footer="1588" w:gutter="0"/>
          <w:cols w:space="425" w:num="1"/>
          <w:docGrid w:type="lines" w:linePitch="312" w:charSpace="0"/>
        </w:sectPr>
      </w:pPr>
      <w:r>
        <w:rPr>
          <w:rFonts w:eastAsia="方正仿宋_GBK"/>
          <w:spacing w:val="-4"/>
          <w:sz w:val="32"/>
        </w:rPr>
        <w:t xml:space="preserve">                              　　</w:t>
      </w:r>
      <w:r>
        <w:rPr>
          <w:rFonts w:eastAsia="方正仿宋_GBK"/>
          <w:spacing w:val="40"/>
          <w:sz w:val="32"/>
        </w:rPr>
        <w:t>201</w:t>
      </w:r>
      <w:r>
        <w:rPr>
          <w:rFonts w:hint="eastAsia" w:eastAsia="方正仿宋_GBK"/>
          <w:spacing w:val="40"/>
          <w:sz w:val="32"/>
        </w:rPr>
        <w:t>8</w:t>
      </w:r>
      <w:r>
        <w:rPr>
          <w:rFonts w:eastAsia="方正仿宋_GBK"/>
          <w:spacing w:val="40"/>
          <w:sz w:val="32"/>
        </w:rPr>
        <w:t>年</w:t>
      </w:r>
      <w:r>
        <w:rPr>
          <w:rFonts w:hint="eastAsia" w:eastAsia="方正仿宋_GBK"/>
          <w:spacing w:val="40"/>
          <w:sz w:val="32"/>
        </w:rPr>
        <w:t>3</w:t>
      </w:r>
      <w:r>
        <w:rPr>
          <w:rFonts w:eastAsia="方正仿宋_GBK"/>
          <w:spacing w:val="40"/>
          <w:sz w:val="32"/>
        </w:rPr>
        <w:t>月</w:t>
      </w:r>
      <w:r>
        <w:rPr>
          <w:rFonts w:hint="eastAsia" w:eastAsia="方正仿宋_GBK"/>
          <w:spacing w:val="40"/>
          <w:sz w:val="32"/>
        </w:rPr>
        <w:t>6</w:t>
      </w:r>
      <w:r>
        <w:rPr>
          <w:rFonts w:eastAsia="方正仿宋_GBK"/>
          <w:spacing w:val="40"/>
          <w:sz w:val="32"/>
        </w:rPr>
        <w:t>日</w:t>
      </w:r>
    </w:p>
    <w:p>
      <w:pPr>
        <w:autoSpaceDE w:val="0"/>
        <w:autoSpaceDN w:val="0"/>
        <w:adjustRightInd w:val="0"/>
        <w:snapToGrid w:val="0"/>
        <w:ind w:right="1105" w:rightChars="526"/>
        <w:rPr>
          <w:rFonts w:hint="eastAsia" w:eastAsia="方正仿宋_GBK"/>
          <w:spacing w:val="40"/>
          <w:sz w:val="32"/>
        </w:rPr>
      </w:pPr>
    </w:p>
    <w:p>
      <w:pPr>
        <w:jc w:val="center"/>
        <w:rPr>
          <w:rFonts w:hint="eastAsia" w:ascii="方正大标宋_GBK" w:eastAsia="方正大标宋_GBK"/>
          <w:sz w:val="44"/>
          <w:szCs w:val="44"/>
        </w:rPr>
      </w:pPr>
      <w:r>
        <w:rPr>
          <w:rFonts w:hint="eastAsia" w:ascii="方正大标宋_GBK" w:eastAsia="方正大标宋_GBK"/>
          <w:sz w:val="44"/>
          <w:szCs w:val="44"/>
        </w:rPr>
        <w:t>温州市市级机关会议费管理规定</w:t>
      </w:r>
    </w:p>
    <w:p>
      <w:pPr>
        <w:jc w:val="center"/>
        <w:rPr>
          <w:rFonts w:hint="eastAsia" w:ascii="宋体"/>
          <w:b/>
          <w:bCs/>
          <w:sz w:val="24"/>
        </w:rPr>
      </w:pPr>
      <w:r>
        <w:rPr>
          <w:rFonts w:hint="eastAsia" w:ascii="宋体"/>
          <w:b/>
          <w:bCs/>
          <w:sz w:val="24"/>
        </w:rPr>
        <w:t xml:space="preserve"> </w:t>
      </w:r>
    </w:p>
    <w:p>
      <w:pPr>
        <w:jc w:val="center"/>
        <w:rPr>
          <w:rFonts w:hint="eastAsia" w:ascii="楷体_GB2312" w:hAnsi="宋体" w:eastAsia="楷体_GB2312" w:cs="宋体"/>
          <w:color w:val="000000"/>
          <w:sz w:val="32"/>
          <w:szCs w:val="32"/>
        </w:rPr>
      </w:pPr>
      <w:r>
        <w:rPr>
          <w:rFonts w:hint="eastAsia" w:ascii="楷体_GB2312" w:hAnsi="宋体" w:eastAsia="楷体_GB2312" w:cs="宋体"/>
          <w:color w:val="000000"/>
          <w:sz w:val="32"/>
          <w:szCs w:val="32"/>
        </w:rPr>
        <w:t>市财政局</w:t>
      </w:r>
    </w:p>
    <w:p>
      <w:pPr>
        <w:rPr>
          <w:rFonts w:hint="eastAsia" w:ascii="仿宋_GB2312" w:eastAsia="仿宋_GB2312"/>
          <w:sz w:val="18"/>
          <w:szCs w:val="18"/>
        </w:rPr>
      </w:pPr>
      <w:r>
        <w:rPr>
          <w:rFonts w:hint="eastAsia" w:ascii="仿宋_GB2312" w:eastAsia="仿宋_GB2312"/>
          <w:sz w:val="18"/>
          <w:szCs w:val="18"/>
        </w:rPr>
        <w:t xml:space="preserve"> </w:t>
      </w:r>
    </w:p>
    <w:p>
      <w:pPr>
        <w:spacing w:line="576" w:lineRule="exact"/>
        <w:ind w:firstLine="624" w:firstLineChars="200"/>
        <w:rPr>
          <w:rFonts w:eastAsia="方正仿宋_GBK"/>
          <w:spacing w:val="-4"/>
          <w:sz w:val="32"/>
          <w:szCs w:val="32"/>
        </w:rPr>
      </w:pPr>
      <w:r>
        <w:rPr>
          <w:rFonts w:hint="eastAsia" w:ascii="方正黑体_GBK" w:eastAsia="方正黑体_GBK"/>
          <w:color w:val="000000"/>
          <w:spacing w:val="-4"/>
          <w:sz w:val="32"/>
          <w:szCs w:val="32"/>
        </w:rPr>
        <w:t>第一条</w:t>
      </w:r>
      <w:r>
        <w:rPr>
          <w:rFonts w:eastAsia="方正仿宋_GBK"/>
          <w:color w:val="000000"/>
          <w:spacing w:val="-4"/>
          <w:sz w:val="32"/>
          <w:szCs w:val="32"/>
        </w:rPr>
        <w:t xml:space="preserve">  为进一步加强和规范机关会议费管理，精简会议，节约会议经费开支，提高会议效率和质量，根据《党政机关厉行节约反对浪费条例》（中发〔2013〕13号），省委办公厅、省政府办公厅《浙江省省直机关会议活动管理规定（试行）》（浙委办发〔2013〕82号）、《浙江省省级机关会议费管理规定》（浙财行〔2014〕7号）和《浙江省财政厅关于调整省级机关会议费培训费有关规定的通知》（浙财行〔2018〕1号）等文件精神，制定本规定。</w:t>
      </w:r>
    </w:p>
    <w:p>
      <w:pPr>
        <w:spacing w:line="576" w:lineRule="exact"/>
        <w:ind w:firstLine="624" w:firstLineChars="200"/>
        <w:rPr>
          <w:rFonts w:eastAsia="方正仿宋_GBK"/>
          <w:spacing w:val="-4"/>
          <w:sz w:val="32"/>
          <w:szCs w:val="32"/>
        </w:rPr>
      </w:pPr>
      <w:r>
        <w:rPr>
          <w:rFonts w:hint="eastAsia" w:ascii="方正黑体_GBK" w:eastAsia="方正黑体_GBK"/>
          <w:spacing w:val="-4"/>
          <w:sz w:val="32"/>
          <w:szCs w:val="32"/>
        </w:rPr>
        <w:t>第二条</w:t>
      </w:r>
      <w:r>
        <w:rPr>
          <w:rFonts w:eastAsia="方正仿宋_GBK"/>
          <w:spacing w:val="-4"/>
          <w:sz w:val="32"/>
          <w:szCs w:val="32"/>
        </w:rPr>
        <w:t xml:space="preserve">  本规定适用于市级机关，</w:t>
      </w:r>
      <w:r>
        <w:rPr>
          <w:rFonts w:eastAsia="方正仿宋_GBK"/>
          <w:color w:val="000000"/>
          <w:spacing w:val="-4"/>
          <w:sz w:val="32"/>
          <w:szCs w:val="32"/>
        </w:rPr>
        <w:t>包括党政机关、人大机关、政协机关、</w:t>
      </w:r>
      <w:r>
        <w:rPr>
          <w:rFonts w:eastAsia="方正仿宋_GBK"/>
          <w:spacing w:val="-4"/>
          <w:sz w:val="32"/>
          <w:szCs w:val="32"/>
        </w:rPr>
        <w:t>审判机关、检察机关、人民团体、民主党派和工商联，参照公务员法管理的事业单位（以下简称各单位）。</w:t>
      </w:r>
    </w:p>
    <w:p>
      <w:pPr>
        <w:spacing w:line="576" w:lineRule="exact"/>
        <w:ind w:firstLine="624" w:firstLineChars="200"/>
        <w:rPr>
          <w:rFonts w:eastAsia="方正仿宋_GBK"/>
          <w:spacing w:val="-4"/>
          <w:sz w:val="32"/>
          <w:szCs w:val="32"/>
        </w:rPr>
      </w:pPr>
      <w:r>
        <w:rPr>
          <w:rFonts w:hint="eastAsia" w:ascii="方正黑体_GBK" w:eastAsia="方正黑体_GBK"/>
          <w:spacing w:val="-4"/>
          <w:sz w:val="32"/>
          <w:szCs w:val="32"/>
        </w:rPr>
        <w:t>第三条</w:t>
      </w:r>
      <w:r>
        <w:rPr>
          <w:rFonts w:eastAsia="方正仿宋_GBK"/>
          <w:spacing w:val="-4"/>
          <w:sz w:val="32"/>
          <w:szCs w:val="32"/>
        </w:rPr>
        <w:t xml:space="preserve">  各单位召开会议应当坚持节约、务实、高效原则，加强会议计划和统筹，</w:t>
      </w:r>
      <w:r>
        <w:rPr>
          <w:rFonts w:eastAsia="方正仿宋_GBK"/>
          <w:color w:val="000000"/>
          <w:spacing w:val="-4"/>
          <w:sz w:val="32"/>
          <w:szCs w:val="32"/>
          <w:shd w:val="clear" w:color="auto" w:fill="FFFFFF"/>
        </w:rPr>
        <w:t>严格控制会议数量，规范会议费管理。</w:t>
      </w:r>
    </w:p>
    <w:p>
      <w:pPr>
        <w:spacing w:line="576" w:lineRule="exact"/>
        <w:ind w:firstLine="624" w:firstLineChars="200"/>
        <w:rPr>
          <w:rFonts w:eastAsia="方正仿宋_GBK"/>
          <w:spacing w:val="-4"/>
          <w:sz w:val="32"/>
          <w:szCs w:val="32"/>
        </w:rPr>
      </w:pPr>
      <w:r>
        <w:rPr>
          <w:rFonts w:hint="eastAsia" w:ascii="方正黑体_GBK" w:eastAsia="方正黑体_GBK"/>
          <w:spacing w:val="-4"/>
          <w:sz w:val="32"/>
          <w:szCs w:val="32"/>
        </w:rPr>
        <w:t>第四条</w:t>
      </w:r>
      <w:r>
        <w:rPr>
          <w:rFonts w:eastAsia="方正仿宋_GBK"/>
          <w:spacing w:val="-4"/>
          <w:sz w:val="32"/>
          <w:szCs w:val="32"/>
        </w:rPr>
        <w:t xml:space="preserve">  会议费开支范围包括会议住宿费、伙食费、会议室租金、交通费和文件印刷费等。</w:t>
      </w:r>
    </w:p>
    <w:p>
      <w:pPr>
        <w:spacing w:line="576" w:lineRule="exact"/>
        <w:ind w:firstLine="468" w:firstLineChars="150"/>
        <w:rPr>
          <w:rFonts w:eastAsia="方正仿宋_GBK"/>
          <w:spacing w:val="-4"/>
          <w:sz w:val="32"/>
          <w:szCs w:val="32"/>
          <w:shd w:val="clear" w:color="auto" w:fill="FFFFFF"/>
        </w:rPr>
      </w:pPr>
      <w:r>
        <w:rPr>
          <w:rFonts w:eastAsia="方正仿宋_GBK"/>
          <w:spacing w:val="-4"/>
          <w:sz w:val="32"/>
          <w:szCs w:val="32"/>
        </w:rPr>
        <w:t>（一）住宿费</w:t>
      </w:r>
      <w:r>
        <w:rPr>
          <w:rFonts w:eastAsia="方正仿宋_GBK"/>
          <w:spacing w:val="-4"/>
          <w:sz w:val="32"/>
          <w:szCs w:val="32"/>
          <w:shd w:val="clear" w:color="auto" w:fill="FFFFFF"/>
        </w:rPr>
        <w:t>是指参会人员及工作人员会议期间发生的租住房间的费用。</w:t>
      </w:r>
    </w:p>
    <w:p>
      <w:pPr>
        <w:spacing w:line="576" w:lineRule="exact"/>
        <w:ind w:firstLine="468" w:firstLineChars="150"/>
        <w:rPr>
          <w:rFonts w:eastAsia="方正仿宋_GBK"/>
          <w:spacing w:val="-4"/>
          <w:sz w:val="32"/>
          <w:szCs w:val="32"/>
          <w:shd w:val="clear" w:color="auto" w:fill="FFFFFF"/>
        </w:rPr>
      </w:pPr>
      <w:r>
        <w:rPr>
          <w:rFonts w:eastAsia="方正仿宋_GBK"/>
          <w:spacing w:val="-4"/>
          <w:sz w:val="32"/>
          <w:szCs w:val="32"/>
        </w:rPr>
        <w:t>（二）伙食费</w:t>
      </w:r>
      <w:r>
        <w:rPr>
          <w:rFonts w:eastAsia="方正仿宋_GBK"/>
          <w:spacing w:val="-4"/>
          <w:sz w:val="32"/>
          <w:szCs w:val="32"/>
          <w:shd w:val="clear" w:color="auto" w:fill="FFFFFF"/>
        </w:rPr>
        <w:t>是指参会人员及工作人员会议期间发生的用餐费用。</w:t>
      </w:r>
    </w:p>
    <w:p>
      <w:pPr>
        <w:spacing w:line="576" w:lineRule="exact"/>
        <w:ind w:firstLine="468" w:firstLineChars="150"/>
        <w:rPr>
          <w:rFonts w:eastAsia="方正仿宋_GBK"/>
          <w:spacing w:val="-4"/>
          <w:sz w:val="32"/>
          <w:szCs w:val="32"/>
        </w:rPr>
      </w:pPr>
      <w:r>
        <w:rPr>
          <w:rFonts w:eastAsia="方正仿宋_GBK"/>
          <w:spacing w:val="-4"/>
          <w:sz w:val="32"/>
          <w:szCs w:val="32"/>
          <w:shd w:val="clear" w:color="auto" w:fill="FFFFFF"/>
        </w:rPr>
        <w:t>（三）</w:t>
      </w:r>
      <w:r>
        <w:rPr>
          <w:rFonts w:eastAsia="方正仿宋_GBK"/>
          <w:spacing w:val="-4"/>
          <w:sz w:val="32"/>
          <w:szCs w:val="32"/>
        </w:rPr>
        <w:t>会议室租金是指租用会议场地的费用支出。</w:t>
      </w:r>
    </w:p>
    <w:p>
      <w:pPr>
        <w:spacing w:line="576" w:lineRule="exact"/>
        <w:ind w:firstLine="468" w:firstLineChars="150"/>
        <w:rPr>
          <w:rFonts w:eastAsia="方正仿宋_GBK"/>
          <w:color w:val="0000FF"/>
          <w:spacing w:val="-4"/>
          <w:sz w:val="32"/>
          <w:szCs w:val="32"/>
        </w:rPr>
      </w:pPr>
      <w:r>
        <w:rPr>
          <w:rFonts w:eastAsia="方正仿宋_GBK"/>
          <w:spacing w:val="-4"/>
          <w:sz w:val="32"/>
          <w:szCs w:val="32"/>
        </w:rPr>
        <w:t>（四）交通费是指用于会议代表接送等会务需要的租车费用支出。会议代表参加会议发生的城市间交通费，按照差旅费有关规定回所在单位报销。</w:t>
      </w:r>
    </w:p>
    <w:p>
      <w:pPr>
        <w:spacing w:line="576" w:lineRule="exact"/>
        <w:ind w:firstLine="624" w:firstLineChars="200"/>
        <w:rPr>
          <w:rFonts w:eastAsia="方正仿宋_GBK"/>
          <w:spacing w:val="-4"/>
          <w:sz w:val="32"/>
          <w:szCs w:val="32"/>
        </w:rPr>
      </w:pPr>
      <w:r>
        <w:rPr>
          <w:rFonts w:eastAsia="方正仿宋_GBK"/>
          <w:spacing w:val="-4"/>
          <w:sz w:val="32"/>
          <w:szCs w:val="32"/>
        </w:rPr>
        <w:t>（五）文件印刷费是指与会议直接相关的讨论、交流、传达等会议文件材料印刷所发生的费用。</w:t>
      </w:r>
    </w:p>
    <w:p>
      <w:pPr>
        <w:spacing w:line="576" w:lineRule="exact"/>
        <w:ind w:firstLine="624" w:firstLineChars="200"/>
        <w:rPr>
          <w:rFonts w:eastAsia="方正仿宋_GBK"/>
          <w:spacing w:val="-4"/>
          <w:sz w:val="32"/>
          <w:szCs w:val="32"/>
        </w:rPr>
      </w:pPr>
      <w:r>
        <w:rPr>
          <w:rFonts w:hint="eastAsia" w:ascii="方正黑体_GBK" w:eastAsia="方正黑体_GBK"/>
          <w:spacing w:val="-4"/>
          <w:sz w:val="32"/>
          <w:szCs w:val="32"/>
        </w:rPr>
        <w:t>第五条</w:t>
      </w:r>
      <w:r>
        <w:rPr>
          <w:rFonts w:eastAsia="方正仿宋_GBK"/>
          <w:spacing w:val="-4"/>
          <w:sz w:val="32"/>
          <w:szCs w:val="32"/>
        </w:rPr>
        <w:t xml:space="preserve">  会议费实行综合定额控制，标准见下表：</w:t>
      </w:r>
    </w:p>
    <w:p>
      <w:pPr>
        <w:spacing w:line="600" w:lineRule="exact"/>
        <w:ind w:left="160" w:leftChars="76" w:firstLine="480" w:firstLineChars="150"/>
        <w:jc w:val="right"/>
        <w:rPr>
          <w:rFonts w:hint="eastAsia" w:ascii="方正仿宋_GBK" w:hAnsi="宋体" w:eastAsia="方正仿宋_GBK" w:cs="Arial"/>
          <w:sz w:val="32"/>
          <w:szCs w:val="32"/>
        </w:rPr>
      </w:pPr>
      <w:r>
        <w:rPr>
          <w:rFonts w:hint="eastAsia" w:ascii="方正仿宋_GBK" w:hAnsi="宋体" w:eastAsia="方正仿宋_GBK" w:cs="Arial"/>
          <w:sz w:val="32"/>
          <w:szCs w:val="32"/>
        </w:rPr>
        <w:t>单位:元/人·天</w:t>
      </w:r>
    </w:p>
    <w:tbl>
      <w:tblPr>
        <w:tblStyle w:val="9"/>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2"/>
        <w:gridCol w:w="1812"/>
        <w:gridCol w:w="1812"/>
        <w:gridCol w:w="1812"/>
        <w:gridCol w:w="1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812"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方正黑体_GBK" w:hAnsi="宋体" w:eastAsia="方正黑体_GBK" w:cs="Arial"/>
                <w:kern w:val="0"/>
                <w:sz w:val="30"/>
                <w:szCs w:val="30"/>
              </w:rPr>
            </w:pPr>
            <w:r>
              <w:rPr>
                <w:rFonts w:hint="eastAsia" w:ascii="方正黑体_GBK" w:hAnsi="宋体" w:eastAsia="方正黑体_GBK" w:cs="Arial"/>
                <w:kern w:val="0"/>
                <w:sz w:val="30"/>
                <w:szCs w:val="30"/>
              </w:rPr>
              <w:t>会议类别</w:t>
            </w:r>
          </w:p>
        </w:tc>
        <w:tc>
          <w:tcPr>
            <w:tcW w:w="1812" w:type="dxa"/>
            <w:tcBorders>
              <w:top w:val="single" w:color="auto" w:sz="4" w:space="0"/>
              <w:left w:val="nil"/>
              <w:bottom w:val="single" w:color="auto" w:sz="4" w:space="0"/>
              <w:right w:val="single" w:color="auto" w:sz="4" w:space="0"/>
            </w:tcBorders>
            <w:vAlign w:val="center"/>
          </w:tcPr>
          <w:p>
            <w:pPr>
              <w:snapToGrid w:val="0"/>
              <w:ind w:left="160" w:leftChars="76"/>
              <w:jc w:val="center"/>
              <w:rPr>
                <w:rFonts w:hint="eastAsia" w:ascii="方正黑体_GBK" w:hAnsi="宋体" w:eastAsia="方正黑体_GBK" w:cs="Arial"/>
                <w:kern w:val="0"/>
                <w:sz w:val="30"/>
                <w:szCs w:val="30"/>
              </w:rPr>
            </w:pPr>
            <w:r>
              <w:rPr>
                <w:rFonts w:hint="eastAsia" w:ascii="方正黑体_GBK" w:hAnsi="宋体" w:eastAsia="方正黑体_GBK" w:cs="Arial"/>
                <w:kern w:val="0"/>
                <w:sz w:val="30"/>
                <w:szCs w:val="30"/>
              </w:rPr>
              <w:t>住宿费</w:t>
            </w:r>
          </w:p>
        </w:tc>
        <w:tc>
          <w:tcPr>
            <w:tcW w:w="1812" w:type="dxa"/>
            <w:tcBorders>
              <w:top w:val="single" w:color="auto" w:sz="4" w:space="0"/>
              <w:left w:val="nil"/>
              <w:bottom w:val="single" w:color="auto" w:sz="4" w:space="0"/>
              <w:right w:val="single" w:color="auto" w:sz="4" w:space="0"/>
            </w:tcBorders>
            <w:vAlign w:val="center"/>
          </w:tcPr>
          <w:p>
            <w:pPr>
              <w:snapToGrid w:val="0"/>
              <w:jc w:val="center"/>
              <w:rPr>
                <w:rFonts w:hint="eastAsia" w:ascii="方正黑体_GBK" w:hAnsi="宋体" w:eastAsia="方正黑体_GBK" w:cs="Arial"/>
                <w:kern w:val="0"/>
                <w:sz w:val="30"/>
                <w:szCs w:val="30"/>
              </w:rPr>
            </w:pPr>
            <w:r>
              <w:rPr>
                <w:rFonts w:hint="eastAsia" w:ascii="方正黑体_GBK" w:hAnsi="宋体" w:eastAsia="方正黑体_GBK" w:cs="Arial"/>
                <w:kern w:val="0"/>
                <w:sz w:val="30"/>
                <w:szCs w:val="30"/>
              </w:rPr>
              <w:t>伙食费</w:t>
            </w:r>
          </w:p>
        </w:tc>
        <w:tc>
          <w:tcPr>
            <w:tcW w:w="1812" w:type="dxa"/>
            <w:tcBorders>
              <w:top w:val="single" w:color="auto" w:sz="4" w:space="0"/>
              <w:left w:val="nil"/>
              <w:bottom w:val="single" w:color="auto" w:sz="4" w:space="0"/>
              <w:right w:val="single" w:color="auto" w:sz="4" w:space="0"/>
            </w:tcBorders>
            <w:vAlign w:val="center"/>
          </w:tcPr>
          <w:p>
            <w:pPr>
              <w:snapToGrid w:val="0"/>
              <w:jc w:val="center"/>
              <w:rPr>
                <w:rFonts w:hint="eastAsia" w:ascii="方正黑体_GBK" w:hAnsi="宋体" w:eastAsia="方正黑体_GBK" w:cs="Arial"/>
                <w:kern w:val="0"/>
                <w:sz w:val="30"/>
                <w:szCs w:val="30"/>
              </w:rPr>
            </w:pPr>
            <w:r>
              <w:rPr>
                <w:rFonts w:hint="eastAsia" w:ascii="方正黑体_GBK" w:hAnsi="宋体" w:eastAsia="方正黑体_GBK" w:cs="Arial"/>
                <w:kern w:val="0"/>
                <w:sz w:val="30"/>
                <w:szCs w:val="30"/>
              </w:rPr>
              <w:t>其他费用</w:t>
            </w:r>
          </w:p>
        </w:tc>
        <w:tc>
          <w:tcPr>
            <w:tcW w:w="1813" w:type="dxa"/>
            <w:tcBorders>
              <w:top w:val="single" w:color="auto" w:sz="4" w:space="0"/>
              <w:left w:val="nil"/>
              <w:bottom w:val="single" w:color="auto" w:sz="4" w:space="0"/>
              <w:right w:val="single" w:color="auto" w:sz="4" w:space="0"/>
            </w:tcBorders>
            <w:vAlign w:val="center"/>
          </w:tcPr>
          <w:p>
            <w:pPr>
              <w:snapToGrid w:val="0"/>
              <w:jc w:val="center"/>
              <w:rPr>
                <w:rFonts w:hint="eastAsia" w:ascii="方正黑体_GBK" w:hAnsi="宋体" w:eastAsia="方正黑体_GBK" w:cs="Arial"/>
                <w:kern w:val="0"/>
                <w:sz w:val="30"/>
                <w:szCs w:val="30"/>
              </w:rPr>
            </w:pPr>
            <w:r>
              <w:rPr>
                <w:rFonts w:hint="eastAsia" w:ascii="方正黑体_GBK" w:hAnsi="宋体" w:eastAsia="方正黑体_GBK" w:cs="Arial"/>
                <w:kern w:val="0"/>
                <w:sz w:val="30"/>
                <w:szCs w:val="30"/>
              </w:rPr>
              <w:t>合 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812"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方正仿宋_GBK"/>
                <w:color w:val="000000"/>
                <w:kern w:val="0"/>
                <w:sz w:val="30"/>
                <w:szCs w:val="30"/>
              </w:rPr>
            </w:pPr>
            <w:r>
              <w:rPr>
                <w:rFonts w:eastAsia="方正仿宋_GBK"/>
                <w:color w:val="000000"/>
                <w:kern w:val="0"/>
                <w:sz w:val="30"/>
                <w:szCs w:val="30"/>
              </w:rPr>
              <w:t>一类会议</w:t>
            </w:r>
          </w:p>
        </w:tc>
        <w:tc>
          <w:tcPr>
            <w:tcW w:w="1812" w:type="dxa"/>
            <w:tcBorders>
              <w:top w:val="single" w:color="auto" w:sz="4" w:space="0"/>
              <w:left w:val="nil"/>
              <w:bottom w:val="single" w:color="auto" w:sz="4" w:space="0"/>
              <w:right w:val="single" w:color="auto" w:sz="4" w:space="0"/>
            </w:tcBorders>
            <w:vAlign w:val="center"/>
          </w:tcPr>
          <w:p>
            <w:pPr>
              <w:spacing w:line="600" w:lineRule="exact"/>
              <w:ind w:left="160" w:leftChars="76" w:firstLine="450" w:firstLineChars="150"/>
              <w:rPr>
                <w:rFonts w:eastAsia="方正仿宋_GBK"/>
                <w:color w:val="000000"/>
                <w:kern w:val="0"/>
                <w:sz w:val="30"/>
                <w:szCs w:val="30"/>
              </w:rPr>
            </w:pPr>
            <w:r>
              <w:rPr>
                <w:rFonts w:eastAsia="方正仿宋_GBK"/>
                <w:color w:val="000000"/>
                <w:kern w:val="0"/>
                <w:sz w:val="30"/>
                <w:szCs w:val="30"/>
              </w:rPr>
              <w:t>300</w:t>
            </w:r>
          </w:p>
        </w:tc>
        <w:tc>
          <w:tcPr>
            <w:tcW w:w="1812" w:type="dxa"/>
            <w:tcBorders>
              <w:top w:val="single" w:color="auto" w:sz="4" w:space="0"/>
              <w:left w:val="nil"/>
              <w:bottom w:val="single" w:color="auto" w:sz="4" w:space="0"/>
              <w:right w:val="single" w:color="auto" w:sz="4" w:space="0"/>
            </w:tcBorders>
            <w:vAlign w:val="center"/>
          </w:tcPr>
          <w:p>
            <w:pPr>
              <w:spacing w:line="600" w:lineRule="exact"/>
              <w:ind w:left="160" w:leftChars="76" w:firstLine="450" w:firstLineChars="150"/>
              <w:rPr>
                <w:rFonts w:eastAsia="方正仿宋_GBK"/>
                <w:color w:val="000000"/>
                <w:kern w:val="0"/>
                <w:sz w:val="30"/>
                <w:szCs w:val="30"/>
              </w:rPr>
            </w:pPr>
            <w:r>
              <w:rPr>
                <w:rFonts w:eastAsia="方正仿宋_GBK"/>
                <w:color w:val="000000"/>
                <w:kern w:val="0"/>
                <w:sz w:val="30"/>
                <w:szCs w:val="30"/>
              </w:rPr>
              <w:t>150</w:t>
            </w:r>
          </w:p>
        </w:tc>
        <w:tc>
          <w:tcPr>
            <w:tcW w:w="1812" w:type="dxa"/>
            <w:tcBorders>
              <w:top w:val="single" w:color="auto" w:sz="4" w:space="0"/>
              <w:left w:val="nil"/>
              <w:bottom w:val="single" w:color="auto" w:sz="4" w:space="0"/>
              <w:right w:val="single" w:color="auto" w:sz="4" w:space="0"/>
            </w:tcBorders>
            <w:vAlign w:val="center"/>
          </w:tcPr>
          <w:p>
            <w:pPr>
              <w:spacing w:line="600" w:lineRule="exact"/>
              <w:ind w:left="160" w:leftChars="76" w:firstLine="450" w:firstLineChars="150"/>
              <w:rPr>
                <w:rFonts w:eastAsia="方正仿宋_GBK"/>
                <w:color w:val="000000"/>
                <w:kern w:val="0"/>
                <w:sz w:val="30"/>
                <w:szCs w:val="30"/>
              </w:rPr>
            </w:pPr>
            <w:r>
              <w:rPr>
                <w:rFonts w:eastAsia="方正仿宋_GBK"/>
                <w:color w:val="000000"/>
                <w:kern w:val="0"/>
                <w:sz w:val="30"/>
                <w:szCs w:val="30"/>
              </w:rPr>
              <w:t>100</w:t>
            </w:r>
          </w:p>
        </w:tc>
        <w:tc>
          <w:tcPr>
            <w:tcW w:w="1813" w:type="dxa"/>
            <w:tcBorders>
              <w:top w:val="single" w:color="auto" w:sz="4" w:space="0"/>
              <w:left w:val="nil"/>
              <w:bottom w:val="single" w:color="auto" w:sz="4" w:space="0"/>
              <w:right w:val="single" w:color="auto" w:sz="4" w:space="0"/>
            </w:tcBorders>
            <w:vAlign w:val="center"/>
          </w:tcPr>
          <w:p>
            <w:pPr>
              <w:spacing w:line="600" w:lineRule="exact"/>
              <w:ind w:left="160" w:leftChars="76" w:firstLine="450" w:firstLineChars="150"/>
              <w:rPr>
                <w:rFonts w:eastAsia="方正仿宋_GBK"/>
                <w:color w:val="000000"/>
                <w:kern w:val="0"/>
                <w:sz w:val="30"/>
                <w:szCs w:val="30"/>
              </w:rPr>
            </w:pPr>
            <w:r>
              <w:rPr>
                <w:rFonts w:eastAsia="方正仿宋_GBK"/>
                <w:color w:val="000000"/>
                <w:kern w:val="0"/>
                <w:sz w:val="30"/>
                <w:szCs w:val="30"/>
              </w:rPr>
              <w:t>550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12"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方正仿宋_GBK"/>
                <w:color w:val="000000"/>
                <w:kern w:val="0"/>
                <w:sz w:val="30"/>
                <w:szCs w:val="30"/>
              </w:rPr>
            </w:pPr>
            <w:r>
              <w:rPr>
                <w:rFonts w:eastAsia="方正仿宋_GBK"/>
                <w:color w:val="000000"/>
                <w:kern w:val="0"/>
                <w:sz w:val="30"/>
                <w:szCs w:val="30"/>
              </w:rPr>
              <w:t>二类会议</w:t>
            </w:r>
          </w:p>
        </w:tc>
        <w:tc>
          <w:tcPr>
            <w:tcW w:w="1812" w:type="dxa"/>
            <w:tcBorders>
              <w:top w:val="single" w:color="auto" w:sz="4" w:space="0"/>
              <w:left w:val="nil"/>
              <w:bottom w:val="single" w:color="auto" w:sz="4" w:space="0"/>
              <w:right w:val="single" w:color="auto" w:sz="4" w:space="0"/>
            </w:tcBorders>
            <w:vAlign w:val="center"/>
          </w:tcPr>
          <w:p>
            <w:pPr>
              <w:spacing w:line="600" w:lineRule="exact"/>
              <w:ind w:left="160" w:leftChars="76" w:firstLine="450" w:firstLineChars="150"/>
              <w:rPr>
                <w:rFonts w:eastAsia="方正仿宋_GBK"/>
                <w:color w:val="000000"/>
                <w:kern w:val="0"/>
                <w:sz w:val="30"/>
                <w:szCs w:val="30"/>
              </w:rPr>
            </w:pPr>
            <w:r>
              <w:rPr>
                <w:rFonts w:eastAsia="方正仿宋_GBK"/>
                <w:color w:val="000000"/>
                <w:kern w:val="0"/>
                <w:sz w:val="30"/>
                <w:szCs w:val="30"/>
              </w:rPr>
              <w:t>240</w:t>
            </w:r>
          </w:p>
        </w:tc>
        <w:tc>
          <w:tcPr>
            <w:tcW w:w="1812" w:type="dxa"/>
            <w:tcBorders>
              <w:top w:val="single" w:color="auto" w:sz="4" w:space="0"/>
              <w:left w:val="nil"/>
              <w:bottom w:val="single" w:color="auto" w:sz="4" w:space="0"/>
              <w:right w:val="single" w:color="auto" w:sz="4" w:space="0"/>
            </w:tcBorders>
            <w:vAlign w:val="center"/>
          </w:tcPr>
          <w:p>
            <w:pPr>
              <w:spacing w:line="600" w:lineRule="exact"/>
              <w:ind w:left="160" w:leftChars="76" w:firstLine="450" w:firstLineChars="150"/>
              <w:rPr>
                <w:rFonts w:eastAsia="方正仿宋_GBK"/>
                <w:color w:val="000000"/>
                <w:kern w:val="0"/>
                <w:sz w:val="30"/>
                <w:szCs w:val="30"/>
              </w:rPr>
            </w:pPr>
            <w:r>
              <w:rPr>
                <w:rFonts w:eastAsia="方正仿宋_GBK"/>
                <w:color w:val="000000"/>
                <w:kern w:val="0"/>
                <w:sz w:val="30"/>
                <w:szCs w:val="30"/>
              </w:rPr>
              <w:t>130</w:t>
            </w:r>
          </w:p>
        </w:tc>
        <w:tc>
          <w:tcPr>
            <w:tcW w:w="1812" w:type="dxa"/>
            <w:tcBorders>
              <w:top w:val="single" w:color="auto" w:sz="4" w:space="0"/>
              <w:left w:val="nil"/>
              <w:bottom w:val="single" w:color="auto" w:sz="4" w:space="0"/>
              <w:right w:val="single" w:color="auto" w:sz="4" w:space="0"/>
            </w:tcBorders>
            <w:vAlign w:val="center"/>
          </w:tcPr>
          <w:p>
            <w:pPr>
              <w:spacing w:line="600" w:lineRule="exact"/>
              <w:ind w:left="160" w:leftChars="76" w:firstLine="450" w:firstLineChars="150"/>
              <w:rPr>
                <w:rFonts w:eastAsia="方正仿宋_GBK"/>
                <w:color w:val="000000"/>
                <w:kern w:val="0"/>
                <w:sz w:val="30"/>
                <w:szCs w:val="30"/>
              </w:rPr>
            </w:pPr>
            <w:r>
              <w:rPr>
                <w:rFonts w:eastAsia="方正仿宋_GBK"/>
                <w:color w:val="000000"/>
                <w:kern w:val="0"/>
                <w:sz w:val="30"/>
                <w:szCs w:val="30"/>
              </w:rPr>
              <w:t>80</w:t>
            </w:r>
          </w:p>
        </w:tc>
        <w:tc>
          <w:tcPr>
            <w:tcW w:w="1813" w:type="dxa"/>
            <w:tcBorders>
              <w:top w:val="single" w:color="auto" w:sz="4" w:space="0"/>
              <w:left w:val="nil"/>
              <w:bottom w:val="single" w:color="auto" w:sz="4" w:space="0"/>
              <w:right w:val="single" w:color="auto" w:sz="4" w:space="0"/>
            </w:tcBorders>
            <w:vAlign w:val="center"/>
          </w:tcPr>
          <w:p>
            <w:pPr>
              <w:spacing w:line="600" w:lineRule="exact"/>
              <w:ind w:left="160" w:leftChars="76" w:firstLine="450" w:firstLineChars="150"/>
              <w:rPr>
                <w:rFonts w:eastAsia="方正仿宋_GBK"/>
                <w:color w:val="000000"/>
                <w:kern w:val="0"/>
                <w:sz w:val="30"/>
                <w:szCs w:val="30"/>
              </w:rPr>
            </w:pPr>
            <w:r>
              <w:rPr>
                <w:rFonts w:eastAsia="方正仿宋_GBK"/>
                <w:color w:val="000000"/>
                <w:kern w:val="0"/>
                <w:sz w:val="30"/>
                <w:szCs w:val="30"/>
              </w:rPr>
              <w:t>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12"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方正仿宋_GBK"/>
                <w:color w:val="000000"/>
                <w:kern w:val="0"/>
                <w:sz w:val="30"/>
                <w:szCs w:val="30"/>
              </w:rPr>
            </w:pPr>
            <w:r>
              <w:rPr>
                <w:rFonts w:eastAsia="方正仿宋_GBK"/>
                <w:color w:val="000000"/>
                <w:kern w:val="0"/>
                <w:sz w:val="30"/>
                <w:szCs w:val="30"/>
              </w:rPr>
              <w:t>三类会议</w:t>
            </w:r>
          </w:p>
        </w:tc>
        <w:tc>
          <w:tcPr>
            <w:tcW w:w="1812" w:type="dxa"/>
            <w:tcBorders>
              <w:top w:val="single" w:color="auto" w:sz="4" w:space="0"/>
              <w:left w:val="nil"/>
              <w:bottom w:val="single" w:color="auto" w:sz="4" w:space="0"/>
              <w:right w:val="single" w:color="auto" w:sz="4" w:space="0"/>
            </w:tcBorders>
            <w:vAlign w:val="center"/>
          </w:tcPr>
          <w:p>
            <w:pPr>
              <w:spacing w:line="600" w:lineRule="exact"/>
              <w:ind w:left="160" w:leftChars="76" w:firstLine="450" w:firstLineChars="150"/>
              <w:rPr>
                <w:rFonts w:eastAsia="方正仿宋_GBK"/>
                <w:color w:val="000000"/>
                <w:kern w:val="0"/>
                <w:sz w:val="30"/>
                <w:szCs w:val="30"/>
              </w:rPr>
            </w:pPr>
            <w:r>
              <w:rPr>
                <w:rFonts w:eastAsia="方正仿宋_GBK"/>
                <w:color w:val="000000"/>
                <w:kern w:val="0"/>
                <w:sz w:val="30"/>
                <w:szCs w:val="30"/>
              </w:rPr>
              <w:t>200</w:t>
            </w:r>
          </w:p>
        </w:tc>
        <w:tc>
          <w:tcPr>
            <w:tcW w:w="1812" w:type="dxa"/>
            <w:tcBorders>
              <w:top w:val="single" w:color="auto" w:sz="4" w:space="0"/>
              <w:left w:val="nil"/>
              <w:bottom w:val="single" w:color="auto" w:sz="4" w:space="0"/>
              <w:right w:val="single" w:color="auto" w:sz="4" w:space="0"/>
            </w:tcBorders>
            <w:vAlign w:val="center"/>
          </w:tcPr>
          <w:p>
            <w:pPr>
              <w:spacing w:line="600" w:lineRule="exact"/>
              <w:ind w:left="160" w:leftChars="76" w:firstLine="450" w:firstLineChars="150"/>
              <w:rPr>
                <w:rFonts w:eastAsia="方正仿宋_GBK"/>
                <w:color w:val="000000"/>
                <w:kern w:val="0"/>
                <w:sz w:val="30"/>
                <w:szCs w:val="30"/>
              </w:rPr>
            </w:pPr>
            <w:r>
              <w:rPr>
                <w:rFonts w:eastAsia="方正仿宋_GBK"/>
                <w:color w:val="000000"/>
                <w:kern w:val="0"/>
                <w:sz w:val="30"/>
                <w:szCs w:val="30"/>
              </w:rPr>
              <w:t>120</w:t>
            </w:r>
          </w:p>
        </w:tc>
        <w:tc>
          <w:tcPr>
            <w:tcW w:w="1812" w:type="dxa"/>
            <w:tcBorders>
              <w:top w:val="single" w:color="auto" w:sz="4" w:space="0"/>
              <w:left w:val="nil"/>
              <w:bottom w:val="single" w:color="auto" w:sz="4" w:space="0"/>
              <w:right w:val="single" w:color="auto" w:sz="4" w:space="0"/>
            </w:tcBorders>
            <w:vAlign w:val="center"/>
          </w:tcPr>
          <w:p>
            <w:pPr>
              <w:spacing w:line="600" w:lineRule="exact"/>
              <w:ind w:left="160" w:leftChars="76" w:firstLine="450" w:firstLineChars="150"/>
              <w:rPr>
                <w:rFonts w:eastAsia="方正仿宋_GBK"/>
                <w:color w:val="000000"/>
                <w:kern w:val="0"/>
                <w:sz w:val="30"/>
                <w:szCs w:val="30"/>
              </w:rPr>
            </w:pPr>
            <w:r>
              <w:rPr>
                <w:rFonts w:eastAsia="方正仿宋_GBK"/>
                <w:color w:val="000000"/>
                <w:kern w:val="0"/>
                <w:sz w:val="30"/>
                <w:szCs w:val="30"/>
              </w:rPr>
              <w:t>80</w:t>
            </w:r>
          </w:p>
        </w:tc>
        <w:tc>
          <w:tcPr>
            <w:tcW w:w="1813" w:type="dxa"/>
            <w:tcBorders>
              <w:top w:val="single" w:color="auto" w:sz="4" w:space="0"/>
              <w:left w:val="nil"/>
              <w:bottom w:val="single" w:color="auto" w:sz="4" w:space="0"/>
              <w:right w:val="single" w:color="auto" w:sz="4" w:space="0"/>
            </w:tcBorders>
            <w:vAlign w:val="center"/>
          </w:tcPr>
          <w:p>
            <w:pPr>
              <w:spacing w:line="600" w:lineRule="exact"/>
              <w:ind w:left="160" w:leftChars="76" w:firstLine="450" w:firstLineChars="150"/>
              <w:rPr>
                <w:rFonts w:eastAsia="方正仿宋_GBK"/>
                <w:color w:val="000000"/>
                <w:kern w:val="0"/>
                <w:sz w:val="30"/>
                <w:szCs w:val="30"/>
              </w:rPr>
            </w:pPr>
            <w:r>
              <w:rPr>
                <w:rFonts w:eastAsia="方正仿宋_GBK"/>
                <w:color w:val="000000"/>
                <w:kern w:val="0"/>
                <w:sz w:val="30"/>
                <w:szCs w:val="30"/>
              </w:rPr>
              <w:t>400</w:t>
            </w:r>
          </w:p>
        </w:tc>
      </w:tr>
    </w:tbl>
    <w:p>
      <w:pPr>
        <w:spacing w:line="576" w:lineRule="exact"/>
        <w:ind w:firstLine="640" w:firstLineChars="200"/>
        <w:rPr>
          <w:rFonts w:eastAsia="方正仿宋_GBK"/>
          <w:sz w:val="32"/>
          <w:szCs w:val="32"/>
        </w:rPr>
      </w:pPr>
      <w:r>
        <w:rPr>
          <w:rFonts w:eastAsia="方正仿宋_GBK"/>
          <w:sz w:val="32"/>
          <w:szCs w:val="32"/>
        </w:rPr>
        <w:t>除上述三类会议外的其他非全市性业务会议（包括研讨会、座谈会、论证会等）在三类会议标准内执行。</w:t>
      </w:r>
    </w:p>
    <w:p>
      <w:pPr>
        <w:spacing w:line="576" w:lineRule="exact"/>
        <w:ind w:firstLine="640" w:firstLineChars="200"/>
        <w:rPr>
          <w:rFonts w:eastAsia="方正仿宋_GBK"/>
          <w:sz w:val="32"/>
          <w:szCs w:val="32"/>
        </w:rPr>
      </w:pPr>
      <w:r>
        <w:rPr>
          <w:rFonts w:eastAsia="方正仿宋_GBK"/>
          <w:sz w:val="32"/>
          <w:szCs w:val="32"/>
        </w:rPr>
        <w:t>综合定额标准是会议费开支的上限，各单位应在综合定额标准以内执行。会议费定额标准各项费用之间可以调剂使用。</w:t>
      </w:r>
    </w:p>
    <w:p>
      <w:pPr>
        <w:spacing w:line="576" w:lineRule="exact"/>
        <w:ind w:firstLine="640" w:firstLineChars="200"/>
        <w:rPr>
          <w:rFonts w:eastAsia="方正仿宋_GBK"/>
          <w:sz w:val="32"/>
          <w:szCs w:val="32"/>
        </w:rPr>
      </w:pPr>
      <w:r>
        <w:rPr>
          <w:rFonts w:hint="eastAsia" w:ascii="方正黑体_GBK" w:eastAsia="方正黑体_GBK"/>
          <w:sz w:val="32"/>
          <w:szCs w:val="32"/>
        </w:rPr>
        <w:t xml:space="preserve">第六条 </w:t>
      </w:r>
      <w:r>
        <w:rPr>
          <w:rFonts w:eastAsia="方正仿宋_GBK"/>
          <w:sz w:val="32"/>
          <w:szCs w:val="32"/>
        </w:rPr>
        <w:t xml:space="preserve"> 各单位应当加强会议费预算管理，严格按会议分类、参会人数、会期、工作人员比例和会议费标准等编制预算，控制会议费预算规模。各类会议报到时间和离开时间合计控制在1天以内。</w:t>
      </w:r>
    </w:p>
    <w:p>
      <w:pPr>
        <w:spacing w:line="576" w:lineRule="exact"/>
        <w:ind w:firstLine="640" w:firstLineChars="200"/>
        <w:rPr>
          <w:rFonts w:eastAsia="方正仿宋_GBK"/>
          <w:sz w:val="32"/>
          <w:szCs w:val="32"/>
        </w:rPr>
      </w:pPr>
      <w:r>
        <w:rPr>
          <w:rFonts w:eastAsia="方正仿宋_GBK"/>
          <w:sz w:val="32"/>
          <w:szCs w:val="32"/>
        </w:rPr>
        <w:t>（一）会议费应纳入部门预算，细化到具体会议项目，需政府采购的，要编制政府采购预算。</w:t>
      </w:r>
    </w:p>
    <w:p>
      <w:pPr>
        <w:spacing w:line="576" w:lineRule="exact"/>
        <w:ind w:firstLine="640" w:firstLineChars="200"/>
        <w:rPr>
          <w:rFonts w:eastAsia="方正仿宋_GBK"/>
          <w:sz w:val="32"/>
          <w:szCs w:val="32"/>
        </w:rPr>
      </w:pPr>
      <w:r>
        <w:rPr>
          <w:rFonts w:eastAsia="方正仿宋_GBK"/>
          <w:sz w:val="32"/>
          <w:szCs w:val="32"/>
        </w:rPr>
        <w:t>（二）依据党章、法律法规和其他章程规定定期举行的会议，经费实行专项审批后，纳入单位部门项目预算。</w:t>
      </w:r>
    </w:p>
    <w:p>
      <w:pPr>
        <w:spacing w:line="576" w:lineRule="exact"/>
        <w:ind w:firstLine="640" w:firstLineChars="200"/>
        <w:rPr>
          <w:rFonts w:eastAsia="方正仿宋_GBK"/>
          <w:sz w:val="32"/>
          <w:szCs w:val="32"/>
        </w:rPr>
      </w:pPr>
      <w:r>
        <w:rPr>
          <w:rFonts w:eastAsia="方正仿宋_GBK"/>
          <w:sz w:val="32"/>
          <w:szCs w:val="32"/>
        </w:rPr>
        <w:t>（三）一类、二类会议经费按规定的程序和标准审批后，作为专项经费列入单位部门预算。三类及其他非全市性业务会议经费由主办单位在其公用经费中解决。</w:t>
      </w:r>
    </w:p>
    <w:p>
      <w:pPr>
        <w:spacing w:line="576" w:lineRule="exact"/>
        <w:ind w:firstLine="640" w:firstLineChars="200"/>
        <w:rPr>
          <w:rFonts w:eastAsia="方正仿宋_GBK"/>
          <w:sz w:val="32"/>
          <w:szCs w:val="32"/>
        </w:rPr>
      </w:pPr>
      <w:r>
        <w:rPr>
          <w:rFonts w:eastAsia="方正仿宋_GBK"/>
          <w:sz w:val="32"/>
          <w:szCs w:val="32"/>
        </w:rPr>
        <w:t>（四）由于会议费标准调整而增加的会议费支出，由各单位根据精简会议的要求，通过减少会议次数、压缩会议规模等方式解决，不能因此增加部门会议费支出总额。</w:t>
      </w:r>
    </w:p>
    <w:p>
      <w:pPr>
        <w:spacing w:line="576" w:lineRule="exact"/>
        <w:ind w:firstLine="640" w:firstLineChars="200"/>
        <w:rPr>
          <w:rFonts w:eastAsia="方正仿宋_GBK"/>
          <w:sz w:val="32"/>
          <w:szCs w:val="32"/>
        </w:rPr>
      </w:pPr>
      <w:r>
        <w:rPr>
          <w:rFonts w:hint="eastAsia" w:ascii="方正黑体_GBK" w:eastAsia="方正黑体_GBK"/>
          <w:sz w:val="32"/>
          <w:szCs w:val="32"/>
        </w:rPr>
        <w:t>第七条</w:t>
      </w:r>
      <w:r>
        <w:rPr>
          <w:rFonts w:eastAsia="方正仿宋_GBK"/>
          <w:sz w:val="32"/>
          <w:szCs w:val="32"/>
        </w:rPr>
        <w:t xml:space="preserve">  各类会议严格按批准预算执行，按规定报销。</w:t>
      </w:r>
    </w:p>
    <w:p>
      <w:pPr>
        <w:spacing w:line="576" w:lineRule="exact"/>
        <w:ind w:firstLine="640" w:firstLineChars="200"/>
        <w:rPr>
          <w:rFonts w:eastAsia="方正仿宋_GBK"/>
          <w:sz w:val="32"/>
          <w:szCs w:val="32"/>
        </w:rPr>
      </w:pPr>
      <w:r>
        <w:rPr>
          <w:rFonts w:eastAsia="方正仿宋_GBK"/>
          <w:sz w:val="32"/>
          <w:szCs w:val="32"/>
        </w:rPr>
        <w:t>（一）主办单位在会议结束后应当及时办理报销手续。会议费报销时除合法票据外，还应当提供会议审批依据、会议通知及实际参会人员签到表、政府采购合同等会议服务单位提供的费用原始明细单据等凭证。</w:t>
      </w:r>
    </w:p>
    <w:p>
      <w:pPr>
        <w:spacing w:line="576" w:lineRule="exact"/>
        <w:ind w:firstLine="640" w:firstLineChars="200"/>
        <w:rPr>
          <w:rFonts w:eastAsia="方正仿宋_GBK"/>
          <w:sz w:val="32"/>
          <w:szCs w:val="32"/>
        </w:rPr>
      </w:pPr>
      <w:r>
        <w:rPr>
          <w:rFonts w:eastAsia="方正仿宋_GBK"/>
          <w:sz w:val="32"/>
          <w:szCs w:val="32"/>
        </w:rPr>
        <w:t>（二）各单位会议费支付，应当严格按照国库集中支付制度和公务卡管理制度的有关规定执行，以银行转账或公务卡方式结算，禁止以现金方式结算。</w:t>
      </w:r>
    </w:p>
    <w:p>
      <w:pPr>
        <w:spacing w:line="576" w:lineRule="exact"/>
        <w:ind w:firstLine="640" w:firstLineChars="200"/>
        <w:rPr>
          <w:rFonts w:eastAsia="方正仿宋_GBK"/>
          <w:sz w:val="32"/>
          <w:szCs w:val="32"/>
        </w:rPr>
      </w:pPr>
      <w:r>
        <w:rPr>
          <w:rFonts w:eastAsia="方正仿宋_GBK"/>
          <w:sz w:val="32"/>
          <w:szCs w:val="32"/>
        </w:rPr>
        <w:t>（三）对未经批准和未列入部门预算的会议，以及超范围、超标准开支的经费一律不予报销。</w:t>
      </w:r>
    </w:p>
    <w:p>
      <w:pPr>
        <w:spacing w:line="576" w:lineRule="exact"/>
        <w:ind w:firstLine="640" w:firstLineChars="200"/>
        <w:rPr>
          <w:rFonts w:eastAsia="方正仿宋_GBK"/>
          <w:sz w:val="32"/>
          <w:szCs w:val="32"/>
        </w:rPr>
      </w:pPr>
      <w:r>
        <w:rPr>
          <w:rFonts w:hint="eastAsia" w:ascii="方正黑体_GBK" w:eastAsia="方正黑体_GBK"/>
          <w:sz w:val="32"/>
          <w:szCs w:val="32"/>
        </w:rPr>
        <w:t>第八条</w:t>
      </w:r>
      <w:r>
        <w:rPr>
          <w:rFonts w:eastAsia="方正仿宋_GBK"/>
          <w:sz w:val="32"/>
          <w:szCs w:val="32"/>
        </w:rPr>
        <w:t xml:space="preserve">  其他有关市级机关会议费管理规定，如会议分类、规模、地点、审批程序、纪律要求等，按温委办发〔2008〕158号和温委办发〔2011〕47号文件规定执行。</w:t>
      </w:r>
    </w:p>
    <w:p>
      <w:pPr>
        <w:spacing w:line="576" w:lineRule="exact"/>
        <w:ind w:firstLine="640" w:firstLineChars="200"/>
        <w:rPr>
          <w:rFonts w:eastAsia="方正仿宋_GBK"/>
          <w:sz w:val="32"/>
          <w:szCs w:val="32"/>
        </w:rPr>
      </w:pPr>
      <w:r>
        <w:rPr>
          <w:rFonts w:hint="eastAsia" w:ascii="方正黑体_GBK" w:eastAsia="方正黑体_GBK"/>
          <w:sz w:val="32"/>
          <w:szCs w:val="32"/>
        </w:rPr>
        <w:t>第九条</w:t>
      </w:r>
      <w:r>
        <w:rPr>
          <w:rFonts w:eastAsia="方正仿宋_GBK"/>
          <w:sz w:val="32"/>
          <w:szCs w:val="32"/>
        </w:rPr>
        <w:t xml:space="preserve">  各单位要根据本规定的要求，制定本单位会议管理实施细则，建立完善会议经费审核、公布、报告、监督检查制度。主管部门要加强对下属单位会议管理的指导和检查。</w:t>
      </w:r>
    </w:p>
    <w:p>
      <w:pPr>
        <w:spacing w:line="576" w:lineRule="exact"/>
        <w:ind w:firstLine="640" w:firstLineChars="200"/>
        <w:rPr>
          <w:rFonts w:eastAsia="方正仿宋_GBK"/>
          <w:sz w:val="32"/>
          <w:szCs w:val="32"/>
        </w:rPr>
      </w:pPr>
      <w:r>
        <w:rPr>
          <w:rFonts w:hint="eastAsia" w:ascii="方正黑体_GBK" w:eastAsia="方正黑体_GBK"/>
          <w:sz w:val="32"/>
          <w:szCs w:val="32"/>
        </w:rPr>
        <w:t>第十条</w:t>
      </w:r>
      <w:r>
        <w:rPr>
          <w:rFonts w:eastAsia="方正仿宋_GBK"/>
          <w:sz w:val="32"/>
          <w:szCs w:val="32"/>
        </w:rPr>
        <w:t xml:space="preserve">  严禁各单位虚报会议次数、人数、天数；严禁向下属机构、企事业单位转嫁、摊派会议费</w:t>
      </w:r>
      <w:r>
        <w:rPr>
          <w:rFonts w:eastAsia="方正仿宋_GBK"/>
          <w:color w:val="3366FF"/>
          <w:sz w:val="32"/>
          <w:szCs w:val="32"/>
        </w:rPr>
        <w:t>；</w:t>
      </w:r>
      <w:r>
        <w:rPr>
          <w:rFonts w:eastAsia="方正仿宋_GBK"/>
          <w:sz w:val="32"/>
          <w:szCs w:val="32"/>
        </w:rPr>
        <w:t>严禁借会议名义组织会餐或安排宴请；严禁在会议费中列支公务接待费、宣传费；严禁套取会议费私立“小金库”。对违反规定的行为，依照有关规定追究责任。</w:t>
      </w:r>
    </w:p>
    <w:p>
      <w:pPr>
        <w:spacing w:line="576" w:lineRule="exact"/>
        <w:ind w:firstLine="640" w:firstLineChars="200"/>
        <w:rPr>
          <w:rFonts w:eastAsia="方正仿宋_GBK"/>
          <w:sz w:val="32"/>
          <w:szCs w:val="32"/>
        </w:rPr>
      </w:pPr>
      <w:r>
        <w:rPr>
          <w:rFonts w:hint="eastAsia" w:ascii="方正黑体_GBK" w:eastAsia="方正黑体_GBK"/>
          <w:sz w:val="32"/>
          <w:szCs w:val="32"/>
        </w:rPr>
        <w:t>第十一条</w:t>
      </w:r>
      <w:r>
        <w:rPr>
          <w:rFonts w:eastAsia="方正仿宋_GBK"/>
          <w:sz w:val="32"/>
          <w:szCs w:val="32"/>
        </w:rPr>
        <w:t xml:space="preserve">  非参照公务员法管理事业单位和社会团体等各类机构召开的会议参照本规定执行。</w:t>
      </w:r>
    </w:p>
    <w:p>
      <w:pPr>
        <w:spacing w:line="576" w:lineRule="exact"/>
        <w:ind w:firstLine="640" w:firstLineChars="200"/>
        <w:rPr>
          <w:rFonts w:eastAsia="方正仿宋_GBK"/>
          <w:color w:val="3366FF"/>
          <w:sz w:val="32"/>
          <w:szCs w:val="32"/>
        </w:rPr>
      </w:pPr>
      <w:r>
        <w:rPr>
          <w:rFonts w:hint="eastAsia" w:ascii="方正黑体_GBK" w:eastAsia="方正黑体_GBK"/>
          <w:sz w:val="32"/>
          <w:szCs w:val="32"/>
        </w:rPr>
        <w:t>第十二条</w:t>
      </w:r>
      <w:r>
        <w:rPr>
          <w:rFonts w:eastAsia="方正仿宋_GBK"/>
          <w:sz w:val="32"/>
          <w:szCs w:val="32"/>
        </w:rPr>
        <w:t xml:space="preserve">  本规定自发布之日起施行。《温州市市级机关会议费管理规定》（温政办〔2014〕41号）同时废止。</w:t>
      </w:r>
    </w:p>
    <w:p>
      <w:pPr>
        <w:widowControl/>
        <w:spacing w:line="576" w:lineRule="exact"/>
        <w:ind w:firstLine="640" w:firstLineChars="200"/>
        <w:rPr>
          <w:rFonts w:eastAsia="方正仿宋_GBK"/>
          <w:szCs w:val="21"/>
        </w:rPr>
      </w:pPr>
      <w:r>
        <w:rPr>
          <w:rFonts w:hint="eastAsia" w:ascii="方正黑体_GBK" w:eastAsia="方正黑体_GBK"/>
          <w:sz w:val="32"/>
          <w:szCs w:val="32"/>
        </w:rPr>
        <w:t>第十三条</w:t>
      </w:r>
      <w:r>
        <w:rPr>
          <w:rFonts w:eastAsia="方正仿宋_GBK"/>
          <w:sz w:val="32"/>
          <w:szCs w:val="32"/>
        </w:rPr>
        <w:t xml:space="preserve">  本规定由市财政局负责解释。</w:t>
      </w:r>
    </w:p>
    <w:p>
      <w:pPr>
        <w:widowControl/>
        <w:spacing w:line="576" w:lineRule="exact"/>
        <w:jc w:val="left"/>
        <w:rPr>
          <w:rFonts w:eastAsia="方正仿宋_GBK"/>
          <w:sz w:val="44"/>
          <w:szCs w:val="44"/>
        </w:rPr>
        <w:sectPr>
          <w:pgSz w:w="11907" w:h="16840"/>
          <w:pgMar w:top="2155" w:right="1531" w:bottom="1985" w:left="1531" w:header="851" w:footer="1588" w:gutter="0"/>
          <w:cols w:space="720" w:num="1"/>
          <w:docGrid w:type="lines" w:linePitch="312" w:charSpace="0"/>
        </w:sectPr>
      </w:pPr>
    </w:p>
    <w:p>
      <w:pPr>
        <w:jc w:val="center"/>
        <w:rPr>
          <w:rFonts w:hint="eastAsia" w:ascii="方正大标宋_GBK" w:eastAsia="方正大标宋_GBK"/>
          <w:sz w:val="44"/>
          <w:szCs w:val="44"/>
        </w:rPr>
      </w:pPr>
      <w:r>
        <w:rPr>
          <w:rFonts w:hint="eastAsia" w:ascii="方正大标宋_GBK" w:eastAsia="方正大标宋_GBK"/>
          <w:sz w:val="44"/>
          <w:szCs w:val="44"/>
        </w:rPr>
        <w:t>温州市市级机关培训费管理规定</w:t>
      </w:r>
    </w:p>
    <w:p>
      <w:pPr>
        <w:jc w:val="center"/>
        <w:rPr>
          <w:rFonts w:hint="eastAsia" w:ascii="楷体_GB2312" w:hAnsi="宋体" w:eastAsia="楷体_GB2312" w:cs="$X$"/>
          <w:color w:val="000000"/>
          <w:sz w:val="18"/>
          <w:szCs w:val="18"/>
        </w:rPr>
      </w:pPr>
      <w:r>
        <w:rPr>
          <w:rFonts w:hint="eastAsia" w:ascii="楷体_GB2312" w:hAnsi="宋体" w:eastAsia="楷体_GB2312" w:cs="$X$"/>
          <w:color w:val="000000"/>
          <w:sz w:val="18"/>
          <w:szCs w:val="18"/>
        </w:rPr>
        <w:t xml:space="preserve"> </w:t>
      </w:r>
    </w:p>
    <w:p>
      <w:pPr>
        <w:jc w:val="center"/>
        <w:rPr>
          <w:rFonts w:hint="eastAsia" w:ascii="楷体_GB2312" w:hAnsi="宋体" w:eastAsia="楷体_GB2312" w:cs="$X$"/>
          <w:color w:val="000000"/>
          <w:sz w:val="32"/>
          <w:szCs w:val="32"/>
        </w:rPr>
      </w:pPr>
      <w:r>
        <w:rPr>
          <w:rFonts w:hint="eastAsia" w:ascii="楷体_GB2312" w:hAnsi="宋体" w:eastAsia="楷体_GB2312" w:cs="$X$"/>
          <w:color w:val="000000"/>
          <w:sz w:val="32"/>
          <w:szCs w:val="32"/>
        </w:rPr>
        <w:t>市财政局</w:t>
      </w:r>
    </w:p>
    <w:p>
      <w:pPr>
        <w:snapToGrid w:val="0"/>
        <w:spacing w:line="420" w:lineRule="auto"/>
        <w:rPr>
          <w:rFonts w:hint="eastAsia" w:ascii="仿宋_GB2312" w:hAnsi="宋体" w:eastAsia="仿宋_GB2312" w:cs="$X$"/>
          <w:color w:val="000000"/>
          <w:sz w:val="28"/>
          <w:szCs w:val="28"/>
        </w:rPr>
      </w:pPr>
      <w:r>
        <w:rPr>
          <w:rFonts w:hint="eastAsia" w:ascii="仿宋_GB2312" w:hAnsi="宋体" w:eastAsia="仿宋_GB2312" w:cs="$X$"/>
          <w:color w:val="000000"/>
          <w:sz w:val="28"/>
          <w:szCs w:val="28"/>
        </w:rPr>
        <w:t xml:space="preserve"> </w:t>
      </w:r>
    </w:p>
    <w:p>
      <w:pPr>
        <w:snapToGrid w:val="0"/>
        <w:spacing w:line="576" w:lineRule="exact"/>
        <w:ind w:firstLine="624" w:firstLineChars="200"/>
        <w:rPr>
          <w:rFonts w:eastAsia="方正仿宋_GBK"/>
          <w:color w:val="000000"/>
          <w:spacing w:val="-4"/>
          <w:sz w:val="32"/>
          <w:szCs w:val="32"/>
        </w:rPr>
      </w:pPr>
      <w:r>
        <w:rPr>
          <w:rFonts w:hint="eastAsia" w:ascii="方正黑体_GBK" w:eastAsia="方正黑体_GBK"/>
          <w:color w:val="000000"/>
          <w:spacing w:val="-4"/>
          <w:sz w:val="32"/>
          <w:szCs w:val="32"/>
        </w:rPr>
        <w:t>第一条</w:t>
      </w:r>
      <w:r>
        <w:rPr>
          <w:rFonts w:eastAsia="方正仿宋_GBK"/>
          <w:color w:val="000000"/>
          <w:spacing w:val="-4"/>
          <w:sz w:val="32"/>
          <w:szCs w:val="32"/>
        </w:rPr>
        <w:t xml:space="preserve">  为了深入贯彻中央和省、市关于厉行节约的有关精神，规范市级机关国内培训工作，提高培训效率和质量，加强培训费管理，节约培训费开支，根据《浙江省省级机关培训费管理规定》（浙财行〔2014〕8号）和《浙江省财政厅关于调整省级机关会议费培训费有关规定的通知》（浙财行〔2018〕1号）精神，制定本规定。</w:t>
      </w:r>
    </w:p>
    <w:p>
      <w:pPr>
        <w:snapToGrid w:val="0"/>
        <w:spacing w:line="576" w:lineRule="exact"/>
        <w:ind w:firstLine="624" w:firstLineChars="200"/>
        <w:rPr>
          <w:rFonts w:eastAsia="方正仿宋_GBK"/>
          <w:spacing w:val="-4"/>
          <w:sz w:val="32"/>
          <w:szCs w:val="32"/>
        </w:rPr>
      </w:pPr>
      <w:r>
        <w:rPr>
          <w:rFonts w:hint="eastAsia" w:ascii="方正黑体_GBK" w:eastAsia="方正黑体_GBK"/>
          <w:color w:val="000000"/>
          <w:spacing w:val="-4"/>
          <w:sz w:val="32"/>
          <w:szCs w:val="32"/>
        </w:rPr>
        <w:t>第二条</w:t>
      </w:r>
      <w:r>
        <w:rPr>
          <w:rFonts w:eastAsia="方正仿宋_GBK"/>
          <w:color w:val="000000"/>
          <w:spacing w:val="-4"/>
          <w:sz w:val="32"/>
          <w:szCs w:val="32"/>
        </w:rPr>
        <w:t xml:space="preserve"> </w:t>
      </w:r>
      <w:r>
        <w:rPr>
          <w:rFonts w:eastAsia="方正仿宋_GBK"/>
          <w:spacing w:val="-4"/>
          <w:sz w:val="32"/>
          <w:szCs w:val="32"/>
        </w:rPr>
        <w:t xml:space="preserve"> 本规定适用于市级机关，包括党政机关、人大机关、政协机关、审判机关、检察机关、人民团体、民主党派和工商联，以及参照公务员法管理的事业单位（以下简称各单位）。</w:t>
      </w:r>
    </w:p>
    <w:p>
      <w:pPr>
        <w:snapToGrid w:val="0"/>
        <w:spacing w:line="576" w:lineRule="exact"/>
        <w:ind w:firstLine="624" w:firstLineChars="200"/>
        <w:rPr>
          <w:rFonts w:eastAsia="方正仿宋_GBK"/>
          <w:spacing w:val="-4"/>
          <w:sz w:val="32"/>
          <w:szCs w:val="32"/>
        </w:rPr>
      </w:pPr>
      <w:r>
        <w:rPr>
          <w:rFonts w:hint="eastAsia" w:ascii="方正黑体_GBK" w:eastAsia="方正黑体_GBK"/>
          <w:color w:val="000000"/>
          <w:spacing w:val="-4"/>
          <w:sz w:val="32"/>
          <w:szCs w:val="32"/>
        </w:rPr>
        <w:t>第三条</w:t>
      </w:r>
      <w:r>
        <w:rPr>
          <w:rFonts w:eastAsia="方正仿宋_GBK"/>
          <w:spacing w:val="-4"/>
          <w:sz w:val="32"/>
          <w:szCs w:val="32"/>
        </w:rPr>
        <w:t xml:space="preserve">  各单位应建立健全培训制度，实行统一管理，节约培训资源，从严控制培训费用，切实注重培训质量，提高培训效率。</w:t>
      </w:r>
    </w:p>
    <w:p>
      <w:pPr>
        <w:snapToGrid w:val="0"/>
        <w:spacing w:line="576" w:lineRule="exact"/>
        <w:ind w:firstLine="624" w:firstLineChars="200"/>
        <w:rPr>
          <w:rFonts w:eastAsia="方正仿宋_GBK"/>
          <w:color w:val="000000"/>
          <w:spacing w:val="-4"/>
          <w:sz w:val="32"/>
          <w:szCs w:val="32"/>
        </w:rPr>
      </w:pPr>
      <w:r>
        <w:rPr>
          <w:rFonts w:hint="eastAsia" w:ascii="方正黑体_GBK" w:eastAsia="方正黑体_GBK"/>
          <w:color w:val="000000"/>
          <w:spacing w:val="-4"/>
          <w:sz w:val="32"/>
          <w:szCs w:val="32"/>
        </w:rPr>
        <w:t>第四条</w:t>
      </w:r>
      <w:r>
        <w:rPr>
          <w:rFonts w:eastAsia="方正仿宋_GBK"/>
          <w:color w:val="000000"/>
          <w:spacing w:val="-4"/>
          <w:sz w:val="32"/>
          <w:szCs w:val="32"/>
        </w:rPr>
        <w:t xml:space="preserve">  培训费是指各单位开展培训直接发生的各项费用支出，包括住宿费、伙食费、培训场地费、讲课费、培训资料费、交通费和其他费用。</w:t>
      </w:r>
    </w:p>
    <w:p>
      <w:pPr>
        <w:snapToGrid w:val="0"/>
        <w:spacing w:line="576" w:lineRule="exact"/>
        <w:ind w:firstLine="624" w:firstLineChars="200"/>
        <w:rPr>
          <w:rFonts w:eastAsia="方正仿宋_GBK"/>
          <w:color w:val="000000"/>
          <w:spacing w:val="-4"/>
          <w:sz w:val="32"/>
          <w:szCs w:val="32"/>
        </w:rPr>
      </w:pPr>
      <w:r>
        <w:rPr>
          <w:rFonts w:eastAsia="方正仿宋_GBK"/>
          <w:color w:val="000000"/>
          <w:spacing w:val="-4"/>
          <w:sz w:val="32"/>
          <w:szCs w:val="32"/>
        </w:rPr>
        <w:t>（一）住宿费是指参训人员及工作人员培训期间发生的租住房间的费用。</w:t>
      </w:r>
    </w:p>
    <w:p>
      <w:pPr>
        <w:snapToGrid w:val="0"/>
        <w:spacing w:line="576" w:lineRule="exact"/>
        <w:ind w:firstLine="624" w:firstLineChars="200"/>
        <w:rPr>
          <w:rFonts w:eastAsia="方正仿宋_GBK"/>
          <w:color w:val="000000"/>
          <w:spacing w:val="-4"/>
          <w:sz w:val="32"/>
          <w:szCs w:val="32"/>
        </w:rPr>
      </w:pPr>
      <w:r>
        <w:rPr>
          <w:rFonts w:eastAsia="方正仿宋_GBK"/>
          <w:color w:val="000000"/>
          <w:spacing w:val="-4"/>
          <w:sz w:val="32"/>
          <w:szCs w:val="32"/>
        </w:rPr>
        <w:t>（二）伙食费是指参训人员及工作人员培训期间发生的用餐费用。</w:t>
      </w:r>
    </w:p>
    <w:p>
      <w:pPr>
        <w:snapToGrid w:val="0"/>
        <w:spacing w:line="576" w:lineRule="exact"/>
        <w:ind w:firstLine="624" w:firstLineChars="200"/>
        <w:rPr>
          <w:rFonts w:eastAsia="方正仿宋_GBK"/>
          <w:color w:val="000000"/>
          <w:spacing w:val="-4"/>
          <w:sz w:val="32"/>
          <w:szCs w:val="32"/>
        </w:rPr>
      </w:pPr>
      <w:r>
        <w:rPr>
          <w:rFonts w:eastAsia="方正仿宋_GBK"/>
          <w:color w:val="000000"/>
          <w:spacing w:val="-4"/>
          <w:sz w:val="32"/>
          <w:szCs w:val="32"/>
        </w:rPr>
        <w:t>（三）培训场地费是指用于租用培训场地的费用支出。</w:t>
      </w:r>
    </w:p>
    <w:p>
      <w:pPr>
        <w:snapToGrid w:val="0"/>
        <w:spacing w:line="576" w:lineRule="exact"/>
        <w:ind w:firstLine="624" w:firstLineChars="200"/>
        <w:rPr>
          <w:rFonts w:eastAsia="方正仿宋_GBK"/>
          <w:color w:val="000000"/>
          <w:spacing w:val="-4"/>
          <w:sz w:val="32"/>
          <w:szCs w:val="32"/>
        </w:rPr>
      </w:pPr>
      <w:r>
        <w:rPr>
          <w:rFonts w:eastAsia="方正仿宋_GBK"/>
          <w:color w:val="000000"/>
          <w:spacing w:val="-4"/>
          <w:sz w:val="32"/>
          <w:szCs w:val="32"/>
        </w:rPr>
        <w:t>（四）讲课费是指聘请师资授课所支付的必要报酬。</w:t>
      </w:r>
    </w:p>
    <w:p>
      <w:pPr>
        <w:snapToGrid w:val="0"/>
        <w:spacing w:line="576" w:lineRule="exact"/>
        <w:ind w:firstLine="624" w:firstLineChars="200"/>
        <w:rPr>
          <w:rFonts w:eastAsia="方正仿宋_GBK"/>
          <w:color w:val="000000"/>
          <w:spacing w:val="-4"/>
          <w:sz w:val="32"/>
          <w:szCs w:val="32"/>
        </w:rPr>
      </w:pPr>
      <w:r>
        <w:rPr>
          <w:rFonts w:eastAsia="方正仿宋_GBK"/>
          <w:color w:val="000000"/>
          <w:spacing w:val="-4"/>
          <w:sz w:val="32"/>
          <w:szCs w:val="32"/>
        </w:rPr>
        <w:t>（五）培训资料费是指培训期间必要的资料及办公用品费。</w:t>
      </w:r>
    </w:p>
    <w:p>
      <w:pPr>
        <w:snapToGrid w:val="0"/>
        <w:spacing w:line="576" w:lineRule="exact"/>
        <w:ind w:firstLine="624" w:firstLineChars="200"/>
        <w:rPr>
          <w:rFonts w:eastAsia="方正仿宋_GBK"/>
          <w:color w:val="000000"/>
          <w:spacing w:val="-4"/>
          <w:sz w:val="32"/>
          <w:szCs w:val="32"/>
        </w:rPr>
      </w:pPr>
      <w:r>
        <w:rPr>
          <w:rFonts w:eastAsia="方正仿宋_GBK"/>
          <w:color w:val="000000"/>
          <w:spacing w:val="-4"/>
          <w:sz w:val="32"/>
          <w:szCs w:val="32"/>
        </w:rPr>
        <w:t>（六）交通费是指用于统一组织的与培训有关的交通支出。</w:t>
      </w:r>
    </w:p>
    <w:p>
      <w:pPr>
        <w:snapToGrid w:val="0"/>
        <w:spacing w:line="576" w:lineRule="exact"/>
        <w:ind w:firstLine="624" w:firstLineChars="200"/>
        <w:rPr>
          <w:rFonts w:eastAsia="方正仿宋_GBK"/>
          <w:color w:val="000000"/>
          <w:spacing w:val="-4"/>
          <w:sz w:val="32"/>
          <w:szCs w:val="32"/>
        </w:rPr>
      </w:pPr>
      <w:r>
        <w:rPr>
          <w:rFonts w:eastAsia="方正仿宋_GBK"/>
          <w:color w:val="000000"/>
          <w:spacing w:val="-4"/>
          <w:sz w:val="32"/>
          <w:szCs w:val="32"/>
        </w:rPr>
        <w:t>（七）其他费用是指除上述费用以外与培训相关的必要支出。</w:t>
      </w:r>
    </w:p>
    <w:p>
      <w:pPr>
        <w:snapToGrid w:val="0"/>
        <w:spacing w:line="576" w:lineRule="exact"/>
        <w:ind w:firstLine="624" w:firstLineChars="200"/>
        <w:rPr>
          <w:rFonts w:eastAsia="方正仿宋_GBK"/>
          <w:color w:val="000000"/>
          <w:spacing w:val="-4"/>
          <w:sz w:val="32"/>
          <w:szCs w:val="32"/>
        </w:rPr>
      </w:pPr>
      <w:r>
        <w:rPr>
          <w:rFonts w:hint="eastAsia" w:ascii="方正黑体_GBK" w:eastAsia="方正黑体_GBK"/>
          <w:color w:val="000000"/>
          <w:spacing w:val="-4"/>
          <w:sz w:val="32"/>
          <w:szCs w:val="32"/>
        </w:rPr>
        <w:t>第五条</w:t>
      </w:r>
      <w:r>
        <w:rPr>
          <w:rFonts w:eastAsia="方正仿宋_GBK"/>
          <w:color w:val="000000"/>
          <w:spacing w:val="-4"/>
          <w:sz w:val="32"/>
          <w:szCs w:val="32"/>
        </w:rPr>
        <w:t xml:space="preserve">  培训费实行分类综合定额标准，分项核定、总额控制，</w:t>
      </w:r>
      <w:r>
        <w:rPr>
          <w:rFonts w:eastAsia="方正仿宋_GBK"/>
          <w:color w:val="000000"/>
          <w:sz w:val="32"/>
          <w:szCs w:val="32"/>
        </w:rPr>
        <w:t>各项费用之间可以按规定调剂使用</w:t>
      </w:r>
      <w:r>
        <w:rPr>
          <w:rFonts w:eastAsia="方正仿宋_GBK"/>
          <w:color w:val="000000"/>
          <w:spacing w:val="-4"/>
          <w:sz w:val="32"/>
          <w:szCs w:val="32"/>
        </w:rPr>
        <w:t>。综合定额标准如下：</w:t>
      </w:r>
    </w:p>
    <w:p>
      <w:pPr>
        <w:snapToGrid w:val="0"/>
        <w:spacing w:line="576" w:lineRule="exact"/>
        <w:ind w:right="468" w:firstLine="640" w:firstLineChars="200"/>
        <w:jc w:val="right"/>
        <w:rPr>
          <w:rFonts w:eastAsia="方正仿宋_GBK"/>
          <w:color w:val="000000"/>
          <w:sz w:val="32"/>
          <w:szCs w:val="32"/>
        </w:rPr>
      </w:pPr>
      <w:r>
        <w:rPr>
          <w:rFonts w:eastAsia="方正仿宋_GBK"/>
          <w:color w:val="000000"/>
          <w:sz w:val="32"/>
          <w:szCs w:val="32"/>
        </w:rPr>
        <w:t>单位：元/人·天</w:t>
      </w:r>
    </w:p>
    <w:tbl>
      <w:tblPr>
        <w:tblStyle w:val="9"/>
        <w:tblW w:w="8659" w:type="dxa"/>
        <w:jc w:val="center"/>
        <w:tblInd w:w="0" w:type="dxa"/>
        <w:tblLayout w:type="fixed"/>
        <w:tblCellMar>
          <w:top w:w="0" w:type="dxa"/>
          <w:left w:w="108" w:type="dxa"/>
          <w:bottom w:w="0" w:type="dxa"/>
          <w:right w:w="108" w:type="dxa"/>
        </w:tblCellMar>
      </w:tblPr>
      <w:tblGrid>
        <w:gridCol w:w="1418"/>
        <w:gridCol w:w="1517"/>
        <w:gridCol w:w="1831"/>
        <w:gridCol w:w="2087"/>
        <w:gridCol w:w="1806"/>
      </w:tblGrid>
      <w:tr>
        <w:tblPrEx>
          <w:tblLayout w:type="fixed"/>
          <w:tblCellMar>
            <w:top w:w="0" w:type="dxa"/>
            <w:left w:w="108" w:type="dxa"/>
            <w:bottom w:w="0" w:type="dxa"/>
            <w:right w:w="108" w:type="dxa"/>
          </w:tblCellMar>
        </w:tblPrEx>
        <w:trPr>
          <w:trHeight w:val="588" w:hRule="atLeast"/>
          <w:jc w:val="center"/>
        </w:trPr>
        <w:tc>
          <w:tcPr>
            <w:tcW w:w="1418" w:type="dxa"/>
            <w:tcBorders>
              <w:top w:val="single" w:color="auto" w:sz="4" w:space="0"/>
              <w:left w:val="single" w:color="auto" w:sz="4" w:space="0"/>
              <w:bottom w:val="single" w:color="auto" w:sz="4" w:space="0"/>
              <w:right w:val="single" w:color="auto" w:sz="4" w:space="0"/>
            </w:tcBorders>
          </w:tcPr>
          <w:p>
            <w:pPr>
              <w:jc w:val="center"/>
              <w:rPr>
                <w:rFonts w:hint="eastAsia" w:ascii="方正黑体_GBK" w:eastAsia="方正黑体_GBK"/>
                <w:sz w:val="30"/>
                <w:szCs w:val="30"/>
              </w:rPr>
            </w:pPr>
            <w:r>
              <w:rPr>
                <w:rFonts w:hint="eastAsia" w:ascii="方正黑体_GBK" w:eastAsia="方正黑体_GBK"/>
                <w:sz w:val="30"/>
                <w:szCs w:val="30"/>
              </w:rPr>
              <w:t>分类</w:t>
            </w:r>
          </w:p>
        </w:tc>
        <w:tc>
          <w:tcPr>
            <w:tcW w:w="1517" w:type="dxa"/>
            <w:tcBorders>
              <w:top w:val="single" w:color="auto" w:sz="4" w:space="0"/>
              <w:left w:val="nil"/>
              <w:bottom w:val="single" w:color="auto" w:sz="4" w:space="0"/>
              <w:right w:val="single" w:color="auto" w:sz="4" w:space="0"/>
            </w:tcBorders>
            <w:vAlign w:val="center"/>
          </w:tcPr>
          <w:p>
            <w:pPr>
              <w:jc w:val="center"/>
              <w:rPr>
                <w:rFonts w:hint="eastAsia" w:ascii="方正黑体_GBK" w:eastAsia="方正黑体_GBK"/>
                <w:sz w:val="30"/>
                <w:szCs w:val="30"/>
              </w:rPr>
            </w:pPr>
            <w:r>
              <w:rPr>
                <w:rFonts w:hint="eastAsia" w:ascii="方正黑体_GBK" w:eastAsia="方正黑体_GBK"/>
                <w:sz w:val="30"/>
                <w:szCs w:val="30"/>
              </w:rPr>
              <w:t>住宿费</w:t>
            </w:r>
          </w:p>
        </w:tc>
        <w:tc>
          <w:tcPr>
            <w:tcW w:w="1831" w:type="dxa"/>
            <w:tcBorders>
              <w:top w:val="single" w:color="auto" w:sz="4" w:space="0"/>
              <w:left w:val="nil"/>
              <w:bottom w:val="single" w:color="auto" w:sz="4" w:space="0"/>
              <w:right w:val="single" w:color="auto" w:sz="4" w:space="0"/>
            </w:tcBorders>
            <w:vAlign w:val="center"/>
          </w:tcPr>
          <w:p>
            <w:pPr>
              <w:jc w:val="center"/>
              <w:rPr>
                <w:rFonts w:hint="eastAsia" w:ascii="方正黑体_GBK" w:eastAsia="方正黑体_GBK"/>
                <w:sz w:val="30"/>
                <w:szCs w:val="30"/>
              </w:rPr>
            </w:pPr>
            <w:r>
              <w:rPr>
                <w:rFonts w:hint="eastAsia" w:ascii="方正黑体_GBK" w:eastAsia="方正黑体_GBK"/>
                <w:sz w:val="30"/>
                <w:szCs w:val="30"/>
              </w:rPr>
              <w:t>伙食费</w:t>
            </w:r>
          </w:p>
        </w:tc>
        <w:tc>
          <w:tcPr>
            <w:tcW w:w="2087" w:type="dxa"/>
            <w:tcBorders>
              <w:top w:val="single" w:color="auto" w:sz="4" w:space="0"/>
              <w:left w:val="nil"/>
              <w:bottom w:val="single" w:color="auto" w:sz="4" w:space="0"/>
              <w:right w:val="single" w:color="auto" w:sz="4" w:space="0"/>
            </w:tcBorders>
            <w:vAlign w:val="center"/>
          </w:tcPr>
          <w:p>
            <w:pPr>
              <w:jc w:val="center"/>
              <w:rPr>
                <w:rFonts w:hint="eastAsia" w:ascii="方正黑体_GBK" w:eastAsia="方正黑体_GBK"/>
                <w:sz w:val="30"/>
                <w:szCs w:val="30"/>
              </w:rPr>
            </w:pPr>
            <w:r>
              <w:rPr>
                <w:rFonts w:hint="eastAsia" w:ascii="方正黑体_GBK" w:eastAsia="方正黑体_GBK"/>
                <w:sz w:val="30"/>
                <w:szCs w:val="30"/>
              </w:rPr>
              <w:t>其他各项费用</w:t>
            </w:r>
          </w:p>
        </w:tc>
        <w:tc>
          <w:tcPr>
            <w:tcW w:w="1806" w:type="dxa"/>
            <w:tcBorders>
              <w:top w:val="single" w:color="auto" w:sz="4" w:space="0"/>
              <w:left w:val="nil"/>
              <w:bottom w:val="single" w:color="auto" w:sz="4" w:space="0"/>
              <w:right w:val="single" w:color="auto" w:sz="4" w:space="0"/>
            </w:tcBorders>
            <w:vAlign w:val="center"/>
          </w:tcPr>
          <w:p>
            <w:pPr>
              <w:jc w:val="center"/>
              <w:rPr>
                <w:rFonts w:hint="eastAsia" w:ascii="方正黑体_GBK" w:eastAsia="方正黑体_GBK"/>
                <w:sz w:val="30"/>
                <w:szCs w:val="30"/>
              </w:rPr>
            </w:pPr>
            <w:r>
              <w:rPr>
                <w:rFonts w:hint="eastAsia" w:ascii="方正黑体_GBK" w:eastAsia="方正黑体_GBK"/>
                <w:sz w:val="30"/>
                <w:szCs w:val="30"/>
              </w:rPr>
              <w:t>合计</w:t>
            </w:r>
          </w:p>
        </w:tc>
      </w:tr>
      <w:tr>
        <w:tblPrEx>
          <w:tblLayout w:type="fixed"/>
          <w:tblCellMar>
            <w:top w:w="0" w:type="dxa"/>
            <w:left w:w="108" w:type="dxa"/>
            <w:bottom w:w="0" w:type="dxa"/>
            <w:right w:w="108" w:type="dxa"/>
          </w:tblCellMar>
        </w:tblPrEx>
        <w:trPr>
          <w:trHeight w:val="518" w:hRule="atLeast"/>
          <w:jc w:val="center"/>
        </w:trPr>
        <w:tc>
          <w:tcPr>
            <w:tcW w:w="1418" w:type="dxa"/>
            <w:tcBorders>
              <w:top w:val="single" w:color="auto" w:sz="4" w:space="0"/>
              <w:left w:val="single" w:color="auto" w:sz="4" w:space="0"/>
              <w:bottom w:val="single" w:color="auto" w:sz="4" w:space="0"/>
              <w:right w:val="single" w:color="auto" w:sz="4" w:space="0"/>
            </w:tcBorders>
          </w:tcPr>
          <w:p>
            <w:pPr>
              <w:snapToGrid w:val="0"/>
              <w:jc w:val="center"/>
              <w:rPr>
                <w:rFonts w:eastAsia="方正仿宋_GBK"/>
                <w:color w:val="000000"/>
                <w:sz w:val="30"/>
                <w:szCs w:val="30"/>
              </w:rPr>
            </w:pPr>
            <w:r>
              <w:rPr>
                <w:rFonts w:eastAsia="方正仿宋_GBK"/>
                <w:color w:val="000000"/>
                <w:sz w:val="30"/>
                <w:szCs w:val="30"/>
              </w:rPr>
              <w:t>一类培训</w:t>
            </w:r>
          </w:p>
        </w:tc>
        <w:tc>
          <w:tcPr>
            <w:tcW w:w="1517" w:type="dxa"/>
            <w:tcBorders>
              <w:top w:val="single" w:color="auto" w:sz="4" w:space="0"/>
              <w:left w:val="nil"/>
              <w:bottom w:val="single" w:color="auto" w:sz="4" w:space="0"/>
              <w:right w:val="single" w:color="auto" w:sz="4" w:space="0"/>
            </w:tcBorders>
            <w:vAlign w:val="center"/>
          </w:tcPr>
          <w:p>
            <w:pPr>
              <w:snapToGrid w:val="0"/>
              <w:jc w:val="center"/>
              <w:rPr>
                <w:rFonts w:eastAsia="方正仿宋_GBK"/>
                <w:color w:val="000000"/>
                <w:sz w:val="30"/>
                <w:szCs w:val="30"/>
              </w:rPr>
            </w:pPr>
            <w:r>
              <w:rPr>
                <w:rFonts w:eastAsia="方正仿宋_GBK"/>
                <w:color w:val="000000"/>
                <w:sz w:val="30"/>
                <w:szCs w:val="30"/>
              </w:rPr>
              <w:t>220</w:t>
            </w:r>
          </w:p>
        </w:tc>
        <w:tc>
          <w:tcPr>
            <w:tcW w:w="1831" w:type="dxa"/>
            <w:tcBorders>
              <w:top w:val="single" w:color="auto" w:sz="4" w:space="0"/>
              <w:left w:val="nil"/>
              <w:bottom w:val="single" w:color="auto" w:sz="4" w:space="0"/>
              <w:right w:val="single" w:color="auto" w:sz="4" w:space="0"/>
            </w:tcBorders>
            <w:vAlign w:val="center"/>
          </w:tcPr>
          <w:p>
            <w:pPr>
              <w:snapToGrid w:val="0"/>
              <w:jc w:val="center"/>
              <w:rPr>
                <w:rFonts w:eastAsia="方正仿宋_GBK"/>
                <w:color w:val="000000"/>
                <w:sz w:val="30"/>
                <w:szCs w:val="30"/>
              </w:rPr>
            </w:pPr>
            <w:r>
              <w:rPr>
                <w:rFonts w:eastAsia="方正仿宋_GBK"/>
                <w:color w:val="000000"/>
                <w:sz w:val="30"/>
                <w:szCs w:val="30"/>
              </w:rPr>
              <w:t>130</w:t>
            </w:r>
          </w:p>
        </w:tc>
        <w:tc>
          <w:tcPr>
            <w:tcW w:w="2087" w:type="dxa"/>
            <w:tcBorders>
              <w:top w:val="single" w:color="auto" w:sz="4" w:space="0"/>
              <w:left w:val="nil"/>
              <w:bottom w:val="single" w:color="auto" w:sz="4" w:space="0"/>
              <w:right w:val="single" w:color="auto" w:sz="4" w:space="0"/>
            </w:tcBorders>
            <w:vAlign w:val="center"/>
          </w:tcPr>
          <w:p>
            <w:pPr>
              <w:snapToGrid w:val="0"/>
              <w:jc w:val="center"/>
              <w:rPr>
                <w:rFonts w:eastAsia="方正仿宋_GBK"/>
                <w:color w:val="000000"/>
                <w:sz w:val="30"/>
                <w:szCs w:val="30"/>
              </w:rPr>
            </w:pPr>
            <w:r>
              <w:rPr>
                <w:rFonts w:eastAsia="方正仿宋_GBK"/>
                <w:color w:val="000000"/>
                <w:sz w:val="30"/>
                <w:szCs w:val="30"/>
              </w:rPr>
              <w:t>100</w:t>
            </w:r>
          </w:p>
        </w:tc>
        <w:tc>
          <w:tcPr>
            <w:tcW w:w="1806" w:type="dxa"/>
            <w:tcBorders>
              <w:top w:val="single" w:color="auto" w:sz="4" w:space="0"/>
              <w:left w:val="nil"/>
              <w:bottom w:val="single" w:color="auto" w:sz="4" w:space="0"/>
              <w:right w:val="single" w:color="auto" w:sz="4" w:space="0"/>
            </w:tcBorders>
            <w:vAlign w:val="center"/>
          </w:tcPr>
          <w:p>
            <w:pPr>
              <w:snapToGrid w:val="0"/>
              <w:jc w:val="center"/>
              <w:rPr>
                <w:rFonts w:eastAsia="方正仿宋_GBK"/>
                <w:color w:val="000000"/>
                <w:sz w:val="30"/>
                <w:szCs w:val="30"/>
              </w:rPr>
            </w:pPr>
            <w:r>
              <w:rPr>
                <w:rFonts w:eastAsia="方正仿宋_GBK"/>
                <w:color w:val="000000"/>
                <w:sz w:val="30"/>
                <w:szCs w:val="30"/>
              </w:rPr>
              <w:t>450</w:t>
            </w:r>
          </w:p>
        </w:tc>
      </w:tr>
      <w:tr>
        <w:tblPrEx>
          <w:tblLayout w:type="fixed"/>
          <w:tblCellMar>
            <w:top w:w="0" w:type="dxa"/>
            <w:left w:w="108" w:type="dxa"/>
            <w:bottom w:w="0" w:type="dxa"/>
            <w:right w:w="108" w:type="dxa"/>
          </w:tblCellMar>
        </w:tblPrEx>
        <w:trPr>
          <w:trHeight w:val="518" w:hRule="atLeast"/>
          <w:jc w:val="center"/>
        </w:trPr>
        <w:tc>
          <w:tcPr>
            <w:tcW w:w="1418" w:type="dxa"/>
            <w:tcBorders>
              <w:top w:val="single" w:color="auto" w:sz="4" w:space="0"/>
              <w:left w:val="single" w:color="auto" w:sz="4" w:space="0"/>
              <w:bottom w:val="single" w:color="auto" w:sz="4" w:space="0"/>
              <w:right w:val="single" w:color="auto" w:sz="4" w:space="0"/>
            </w:tcBorders>
          </w:tcPr>
          <w:p>
            <w:pPr>
              <w:snapToGrid w:val="0"/>
              <w:jc w:val="center"/>
              <w:rPr>
                <w:rFonts w:eastAsia="方正仿宋_GBK"/>
                <w:color w:val="000000"/>
                <w:sz w:val="30"/>
                <w:szCs w:val="30"/>
              </w:rPr>
            </w:pPr>
            <w:r>
              <w:rPr>
                <w:rFonts w:eastAsia="方正仿宋_GBK"/>
                <w:color w:val="000000"/>
                <w:sz w:val="30"/>
                <w:szCs w:val="30"/>
              </w:rPr>
              <w:t>二类培训</w:t>
            </w:r>
          </w:p>
        </w:tc>
        <w:tc>
          <w:tcPr>
            <w:tcW w:w="1517" w:type="dxa"/>
            <w:tcBorders>
              <w:top w:val="single" w:color="auto" w:sz="4" w:space="0"/>
              <w:left w:val="nil"/>
              <w:bottom w:val="single" w:color="auto" w:sz="4" w:space="0"/>
              <w:right w:val="single" w:color="auto" w:sz="4" w:space="0"/>
            </w:tcBorders>
            <w:vAlign w:val="center"/>
          </w:tcPr>
          <w:p>
            <w:pPr>
              <w:snapToGrid w:val="0"/>
              <w:jc w:val="center"/>
              <w:rPr>
                <w:rFonts w:eastAsia="方正仿宋_GBK"/>
                <w:color w:val="000000"/>
                <w:sz w:val="30"/>
                <w:szCs w:val="30"/>
              </w:rPr>
            </w:pPr>
            <w:r>
              <w:rPr>
                <w:rFonts w:eastAsia="方正仿宋_GBK"/>
                <w:color w:val="000000"/>
                <w:sz w:val="30"/>
                <w:szCs w:val="30"/>
              </w:rPr>
              <w:t>180</w:t>
            </w:r>
          </w:p>
        </w:tc>
        <w:tc>
          <w:tcPr>
            <w:tcW w:w="1831" w:type="dxa"/>
            <w:tcBorders>
              <w:top w:val="single" w:color="auto" w:sz="4" w:space="0"/>
              <w:left w:val="nil"/>
              <w:bottom w:val="single" w:color="auto" w:sz="4" w:space="0"/>
              <w:right w:val="single" w:color="auto" w:sz="4" w:space="0"/>
            </w:tcBorders>
            <w:vAlign w:val="center"/>
          </w:tcPr>
          <w:p>
            <w:pPr>
              <w:snapToGrid w:val="0"/>
              <w:jc w:val="center"/>
              <w:rPr>
                <w:rFonts w:eastAsia="方正仿宋_GBK"/>
                <w:color w:val="000000"/>
                <w:sz w:val="30"/>
                <w:szCs w:val="30"/>
              </w:rPr>
            </w:pPr>
            <w:r>
              <w:rPr>
                <w:rFonts w:eastAsia="方正仿宋_GBK"/>
                <w:color w:val="000000"/>
                <w:sz w:val="30"/>
                <w:szCs w:val="30"/>
              </w:rPr>
              <w:t>120</w:t>
            </w:r>
          </w:p>
        </w:tc>
        <w:tc>
          <w:tcPr>
            <w:tcW w:w="2087" w:type="dxa"/>
            <w:tcBorders>
              <w:top w:val="single" w:color="auto" w:sz="4" w:space="0"/>
              <w:left w:val="nil"/>
              <w:bottom w:val="single" w:color="auto" w:sz="4" w:space="0"/>
              <w:right w:val="single" w:color="auto" w:sz="4" w:space="0"/>
            </w:tcBorders>
            <w:vAlign w:val="center"/>
          </w:tcPr>
          <w:p>
            <w:pPr>
              <w:snapToGrid w:val="0"/>
              <w:jc w:val="center"/>
              <w:rPr>
                <w:rFonts w:eastAsia="方正仿宋_GBK"/>
                <w:color w:val="000000"/>
                <w:sz w:val="30"/>
                <w:szCs w:val="30"/>
              </w:rPr>
            </w:pPr>
            <w:r>
              <w:rPr>
                <w:rFonts w:eastAsia="方正仿宋_GBK"/>
                <w:color w:val="000000"/>
                <w:sz w:val="30"/>
                <w:szCs w:val="30"/>
              </w:rPr>
              <w:t>100</w:t>
            </w:r>
          </w:p>
        </w:tc>
        <w:tc>
          <w:tcPr>
            <w:tcW w:w="1806" w:type="dxa"/>
            <w:tcBorders>
              <w:top w:val="single" w:color="auto" w:sz="4" w:space="0"/>
              <w:left w:val="nil"/>
              <w:bottom w:val="single" w:color="auto" w:sz="4" w:space="0"/>
              <w:right w:val="single" w:color="auto" w:sz="4" w:space="0"/>
            </w:tcBorders>
            <w:vAlign w:val="center"/>
          </w:tcPr>
          <w:p>
            <w:pPr>
              <w:snapToGrid w:val="0"/>
              <w:jc w:val="center"/>
              <w:rPr>
                <w:rFonts w:eastAsia="方正仿宋_GBK"/>
                <w:color w:val="000000"/>
                <w:sz w:val="30"/>
                <w:szCs w:val="30"/>
              </w:rPr>
            </w:pPr>
            <w:r>
              <w:rPr>
                <w:rFonts w:eastAsia="方正仿宋_GBK"/>
                <w:color w:val="000000"/>
                <w:sz w:val="30"/>
                <w:szCs w:val="30"/>
              </w:rPr>
              <w:t>400</w:t>
            </w:r>
          </w:p>
        </w:tc>
      </w:tr>
    </w:tbl>
    <w:p>
      <w:pPr>
        <w:snapToGrid w:val="0"/>
        <w:spacing w:line="576" w:lineRule="exact"/>
        <w:ind w:firstLine="640" w:firstLineChars="200"/>
        <w:rPr>
          <w:rFonts w:eastAsia="方正仿宋_GBK"/>
          <w:color w:val="000000"/>
          <w:sz w:val="32"/>
          <w:szCs w:val="32"/>
        </w:rPr>
      </w:pPr>
      <w:r>
        <w:rPr>
          <w:rFonts w:eastAsia="方正仿宋_GBK"/>
          <w:color w:val="000000"/>
          <w:sz w:val="32"/>
          <w:szCs w:val="32"/>
        </w:rPr>
        <w:t>一类培训是指参训人员主要为厅级人员及各市、县（市、区）党政主要负责人的培训项目。</w:t>
      </w:r>
    </w:p>
    <w:p>
      <w:pPr>
        <w:snapToGrid w:val="0"/>
        <w:spacing w:line="576" w:lineRule="exact"/>
        <w:ind w:firstLine="640" w:firstLineChars="200"/>
        <w:rPr>
          <w:rFonts w:eastAsia="方正仿宋_GBK"/>
          <w:color w:val="000000"/>
          <w:sz w:val="32"/>
          <w:szCs w:val="32"/>
        </w:rPr>
      </w:pPr>
      <w:r>
        <w:rPr>
          <w:rFonts w:eastAsia="方正仿宋_GBK"/>
          <w:color w:val="000000"/>
          <w:sz w:val="32"/>
          <w:szCs w:val="32"/>
        </w:rPr>
        <w:t>二类培训是指参训人员主要为处级及以下人员的培训项目，以其他人员为主的培训项目参照上述标准执行。</w:t>
      </w:r>
    </w:p>
    <w:p>
      <w:pPr>
        <w:snapToGrid w:val="0"/>
        <w:spacing w:line="576" w:lineRule="exact"/>
        <w:ind w:firstLine="624" w:firstLineChars="200"/>
        <w:rPr>
          <w:rFonts w:eastAsia="方正仿宋_GBK"/>
          <w:color w:val="000000"/>
          <w:spacing w:val="-4"/>
          <w:sz w:val="32"/>
          <w:szCs w:val="32"/>
        </w:rPr>
      </w:pPr>
      <w:r>
        <w:rPr>
          <w:rFonts w:eastAsia="方正仿宋_GBK"/>
          <w:color w:val="000000"/>
          <w:spacing w:val="-4"/>
          <w:sz w:val="32"/>
          <w:szCs w:val="32"/>
        </w:rPr>
        <w:t>5天以内（含5天）的培训按照综合定额标准控制；5天以上的培训，所有天数按照综合定额标准的80%（即一类培训每人每天计360元，二类培训每人每天计320元）控制。上述天数含报到时间和离开时间，报到时间和离开时间合计不得超过1天。</w:t>
      </w:r>
    </w:p>
    <w:p>
      <w:pPr>
        <w:snapToGrid w:val="0"/>
        <w:spacing w:line="576" w:lineRule="exact"/>
        <w:ind w:firstLine="640" w:firstLineChars="200"/>
        <w:rPr>
          <w:rFonts w:eastAsia="方正仿宋_GBK"/>
          <w:color w:val="000000"/>
          <w:sz w:val="32"/>
          <w:szCs w:val="32"/>
        </w:rPr>
      </w:pPr>
      <w:r>
        <w:rPr>
          <w:rFonts w:hint="eastAsia" w:ascii="方正黑体_GBK" w:eastAsia="方正黑体_GBK"/>
          <w:color w:val="000000"/>
          <w:sz w:val="32"/>
          <w:szCs w:val="32"/>
        </w:rPr>
        <w:t>第六条</w:t>
      </w:r>
      <w:r>
        <w:rPr>
          <w:rFonts w:eastAsia="方正仿宋_GBK"/>
          <w:color w:val="000000"/>
          <w:sz w:val="32"/>
          <w:szCs w:val="32"/>
        </w:rPr>
        <w:t xml:space="preserve">  讲课费执行以下标准（税后）：</w:t>
      </w:r>
    </w:p>
    <w:p>
      <w:pPr>
        <w:snapToGrid w:val="0"/>
        <w:spacing w:line="576" w:lineRule="exact"/>
        <w:ind w:firstLine="640" w:firstLineChars="200"/>
        <w:rPr>
          <w:rFonts w:eastAsia="方正仿宋_GBK"/>
          <w:color w:val="000000"/>
          <w:sz w:val="32"/>
          <w:szCs w:val="32"/>
        </w:rPr>
      </w:pPr>
      <w:r>
        <w:rPr>
          <w:rFonts w:eastAsia="方正仿宋_GBK"/>
          <w:color w:val="000000"/>
          <w:sz w:val="32"/>
          <w:szCs w:val="32"/>
        </w:rPr>
        <w:t>（一）中级技术职称及以下专业人员每学时最高不超过300元；</w:t>
      </w:r>
    </w:p>
    <w:p>
      <w:pPr>
        <w:snapToGrid w:val="0"/>
        <w:spacing w:line="576" w:lineRule="exact"/>
        <w:ind w:firstLine="640" w:firstLineChars="200"/>
        <w:rPr>
          <w:rFonts w:eastAsia="方正仿宋_GBK"/>
          <w:color w:val="000000"/>
          <w:sz w:val="32"/>
          <w:szCs w:val="32"/>
        </w:rPr>
      </w:pPr>
      <w:r>
        <w:rPr>
          <w:rFonts w:eastAsia="方正仿宋_GBK"/>
          <w:color w:val="000000"/>
          <w:sz w:val="32"/>
          <w:szCs w:val="32"/>
        </w:rPr>
        <w:t>（二）副高级技术职称专业人员每学时最高不超过500元；</w:t>
      </w:r>
    </w:p>
    <w:p>
      <w:pPr>
        <w:snapToGrid w:val="0"/>
        <w:spacing w:line="576" w:lineRule="exact"/>
        <w:ind w:firstLine="640" w:firstLineChars="200"/>
        <w:rPr>
          <w:rFonts w:eastAsia="方正仿宋_GBK"/>
          <w:color w:val="000000"/>
          <w:sz w:val="32"/>
          <w:szCs w:val="32"/>
        </w:rPr>
      </w:pPr>
      <w:r>
        <w:rPr>
          <w:rFonts w:eastAsia="方正仿宋_GBK"/>
          <w:color w:val="000000"/>
          <w:sz w:val="32"/>
          <w:szCs w:val="32"/>
        </w:rPr>
        <w:t>（三）正高级技术职称专业人员每学时最高不超过1000元；</w:t>
      </w:r>
    </w:p>
    <w:p>
      <w:pPr>
        <w:snapToGrid w:val="0"/>
        <w:spacing w:line="576" w:lineRule="exact"/>
        <w:ind w:firstLine="640" w:firstLineChars="200"/>
        <w:rPr>
          <w:rFonts w:eastAsia="方正仿宋_GBK"/>
          <w:color w:val="000000"/>
          <w:sz w:val="32"/>
          <w:szCs w:val="32"/>
        </w:rPr>
      </w:pPr>
      <w:r>
        <w:rPr>
          <w:rFonts w:eastAsia="方正仿宋_GBK"/>
          <w:color w:val="000000"/>
          <w:sz w:val="32"/>
          <w:szCs w:val="32"/>
        </w:rPr>
        <w:t>（四）院士、全国知名专家每学时一般不超过1500元。</w:t>
      </w:r>
    </w:p>
    <w:p>
      <w:pPr>
        <w:snapToGrid w:val="0"/>
        <w:spacing w:line="576" w:lineRule="exact"/>
        <w:ind w:firstLine="640" w:firstLineChars="200"/>
        <w:rPr>
          <w:rFonts w:eastAsia="方正仿宋_GBK"/>
          <w:color w:val="000000"/>
          <w:sz w:val="32"/>
          <w:szCs w:val="32"/>
        </w:rPr>
      </w:pPr>
      <w:r>
        <w:rPr>
          <w:rFonts w:eastAsia="方正仿宋_GBK"/>
          <w:color w:val="000000"/>
          <w:sz w:val="32"/>
          <w:szCs w:val="32"/>
        </w:rPr>
        <w:t>讲课费按实际发生的学时计算，每半天最多按4学时计算。</w:t>
      </w:r>
    </w:p>
    <w:p>
      <w:pPr>
        <w:snapToGrid w:val="0"/>
        <w:spacing w:line="576" w:lineRule="exact"/>
        <w:ind w:firstLine="640" w:firstLineChars="200"/>
        <w:rPr>
          <w:rFonts w:eastAsia="方正仿宋_GBK"/>
          <w:color w:val="000000"/>
          <w:sz w:val="32"/>
          <w:szCs w:val="32"/>
        </w:rPr>
      </w:pPr>
      <w:r>
        <w:rPr>
          <w:rFonts w:eastAsia="方正仿宋_GBK"/>
          <w:color w:val="000000"/>
          <w:sz w:val="32"/>
          <w:szCs w:val="32"/>
        </w:rPr>
        <w:t>其他人员讲课参照上述标准执行。</w:t>
      </w:r>
    </w:p>
    <w:p>
      <w:pPr>
        <w:snapToGrid w:val="0"/>
        <w:spacing w:line="576" w:lineRule="exact"/>
        <w:ind w:firstLine="640" w:firstLineChars="200"/>
        <w:rPr>
          <w:rFonts w:eastAsia="方正仿宋_GBK"/>
          <w:color w:val="000000"/>
          <w:sz w:val="32"/>
          <w:szCs w:val="32"/>
        </w:rPr>
      </w:pPr>
      <w:r>
        <w:rPr>
          <w:rFonts w:eastAsia="方正仿宋_GBK"/>
          <w:color w:val="000000"/>
          <w:sz w:val="32"/>
          <w:szCs w:val="32"/>
        </w:rPr>
        <w:t>同时为多班次一并授课的，不重复计算讲课费。</w:t>
      </w:r>
    </w:p>
    <w:p>
      <w:pPr>
        <w:snapToGrid w:val="0"/>
        <w:spacing w:line="576" w:lineRule="exact"/>
        <w:ind w:firstLine="640" w:firstLineChars="200"/>
        <w:rPr>
          <w:rFonts w:eastAsia="方正仿宋_GBK"/>
          <w:sz w:val="32"/>
          <w:szCs w:val="32"/>
        </w:rPr>
      </w:pPr>
      <w:r>
        <w:rPr>
          <w:rFonts w:hint="eastAsia" w:ascii="方正黑体_GBK" w:eastAsia="方正黑体_GBK"/>
          <w:color w:val="000000"/>
          <w:sz w:val="32"/>
          <w:szCs w:val="32"/>
        </w:rPr>
        <w:t>第七条</w:t>
      </w:r>
      <w:r>
        <w:rPr>
          <w:rFonts w:eastAsia="方正仿宋_GBK"/>
          <w:color w:val="000000"/>
          <w:sz w:val="32"/>
          <w:szCs w:val="32"/>
        </w:rPr>
        <w:t xml:space="preserve">  组织培训的工作人员控制在参训人员数量的5%以内，最多不超过10人。</w:t>
      </w:r>
    </w:p>
    <w:p>
      <w:pPr>
        <w:snapToGrid w:val="0"/>
        <w:spacing w:line="576" w:lineRule="exact"/>
        <w:ind w:firstLine="640" w:firstLineChars="200"/>
        <w:rPr>
          <w:rFonts w:eastAsia="方正仿宋_GBK"/>
          <w:sz w:val="32"/>
          <w:szCs w:val="32"/>
        </w:rPr>
      </w:pPr>
      <w:r>
        <w:rPr>
          <w:rFonts w:hint="eastAsia" w:ascii="方正黑体_GBK" w:eastAsia="方正黑体_GBK"/>
          <w:color w:val="000000"/>
          <w:sz w:val="32"/>
          <w:szCs w:val="32"/>
        </w:rPr>
        <w:t>第八条</w:t>
      </w:r>
      <w:r>
        <w:rPr>
          <w:rFonts w:eastAsia="方正仿宋_GBK"/>
          <w:color w:val="000000"/>
          <w:sz w:val="32"/>
          <w:szCs w:val="32"/>
        </w:rPr>
        <w:t xml:space="preserve">  各单位应当优先选择</w:t>
      </w:r>
      <w:r>
        <w:rPr>
          <w:rFonts w:eastAsia="方正仿宋_GBK"/>
          <w:sz w:val="32"/>
          <w:szCs w:val="32"/>
        </w:rPr>
        <w:t>党校、部门行业所属培训基地、高校等场所举办培训。</w:t>
      </w:r>
    </w:p>
    <w:p>
      <w:pPr>
        <w:snapToGrid w:val="0"/>
        <w:spacing w:line="576" w:lineRule="exact"/>
        <w:ind w:firstLine="640" w:firstLineChars="200"/>
        <w:rPr>
          <w:rFonts w:eastAsia="方正仿宋_GBK"/>
          <w:color w:val="000000"/>
          <w:sz w:val="32"/>
          <w:szCs w:val="32"/>
        </w:rPr>
      </w:pPr>
      <w:r>
        <w:rPr>
          <w:rFonts w:hint="eastAsia" w:ascii="方正黑体_GBK" w:eastAsia="方正黑体_GBK"/>
          <w:color w:val="000000"/>
          <w:sz w:val="32"/>
          <w:szCs w:val="32"/>
        </w:rPr>
        <w:t>第九条</w:t>
      </w:r>
      <w:r>
        <w:rPr>
          <w:rFonts w:eastAsia="方正仿宋_GBK"/>
          <w:color w:val="000000"/>
          <w:sz w:val="32"/>
          <w:szCs w:val="32"/>
        </w:rPr>
        <w:t xml:space="preserve">  严禁借培训名义安排公款旅游；严禁借培训名义组织会餐或安排宴请；严禁组织高消费娱乐、健身活动；严禁使用培训费购置电脑、复印机、打印机、传真机等固定资产以及开支与培训无关的其他费用；严禁在培训费中列支公务接待费、会议费；严禁套取培训费设立“小金库”。</w:t>
      </w:r>
    </w:p>
    <w:p>
      <w:pPr>
        <w:snapToGrid w:val="0"/>
        <w:spacing w:line="576" w:lineRule="exact"/>
        <w:ind w:firstLine="640" w:firstLineChars="200"/>
        <w:rPr>
          <w:rFonts w:eastAsia="方正仿宋_GBK"/>
          <w:color w:val="000000"/>
          <w:sz w:val="32"/>
          <w:szCs w:val="32"/>
        </w:rPr>
      </w:pPr>
      <w:r>
        <w:rPr>
          <w:rFonts w:eastAsia="方正仿宋_GBK"/>
          <w:color w:val="000000"/>
          <w:sz w:val="32"/>
          <w:szCs w:val="32"/>
        </w:rPr>
        <w:t>培训住宿以标准间为主，不得发放洗漱用品；培训用餐不得上高档菜肴，不得提供烟酒。</w:t>
      </w:r>
    </w:p>
    <w:p>
      <w:pPr>
        <w:snapToGrid w:val="0"/>
        <w:spacing w:line="576" w:lineRule="exact"/>
        <w:ind w:firstLine="640" w:firstLineChars="200"/>
        <w:rPr>
          <w:rFonts w:eastAsia="方正仿宋_GBK"/>
          <w:color w:val="000000"/>
          <w:sz w:val="32"/>
          <w:szCs w:val="32"/>
        </w:rPr>
      </w:pPr>
      <w:r>
        <w:rPr>
          <w:rFonts w:hint="eastAsia" w:ascii="方正黑体_GBK" w:eastAsia="方正黑体_GBK"/>
          <w:color w:val="000000"/>
          <w:sz w:val="32"/>
          <w:szCs w:val="32"/>
        </w:rPr>
        <w:t>第十条</w:t>
      </w:r>
      <w:r>
        <w:rPr>
          <w:rFonts w:eastAsia="方正仿宋_GBK"/>
          <w:color w:val="000000"/>
          <w:sz w:val="32"/>
          <w:szCs w:val="32"/>
        </w:rPr>
        <w:t xml:space="preserve">  各单位应尽量利用网络、视频等信息化手段，大力推行自主选学、在岗自学等方式开展培训。</w:t>
      </w:r>
    </w:p>
    <w:p>
      <w:pPr>
        <w:snapToGrid w:val="0"/>
        <w:spacing w:line="576" w:lineRule="exact"/>
        <w:ind w:firstLine="640" w:firstLineChars="200"/>
        <w:rPr>
          <w:rFonts w:eastAsia="方正仿宋_GBK"/>
          <w:sz w:val="32"/>
          <w:szCs w:val="32"/>
        </w:rPr>
      </w:pPr>
      <w:r>
        <w:rPr>
          <w:rFonts w:hint="eastAsia" w:ascii="方正黑体_GBK" w:eastAsia="方正黑体_GBK"/>
          <w:color w:val="000000"/>
          <w:sz w:val="32"/>
          <w:szCs w:val="32"/>
        </w:rPr>
        <w:t>第十一条</w:t>
      </w:r>
      <w:r>
        <w:rPr>
          <w:rFonts w:eastAsia="方正仿宋_GBK"/>
          <w:color w:val="000000"/>
          <w:sz w:val="32"/>
          <w:szCs w:val="32"/>
        </w:rPr>
        <w:t xml:space="preserve">  </w:t>
      </w:r>
      <w:r>
        <w:rPr>
          <w:rFonts w:eastAsia="方正仿宋_GBK"/>
          <w:sz w:val="32"/>
          <w:szCs w:val="32"/>
        </w:rPr>
        <w:t>培训费由培训举办单位承担，在公用经费中列支，如专项工作确需组织培训的，可在相关专项经费中列支。</w:t>
      </w:r>
    </w:p>
    <w:p>
      <w:pPr>
        <w:snapToGrid w:val="0"/>
        <w:spacing w:line="576" w:lineRule="exact"/>
        <w:ind w:firstLine="640" w:firstLineChars="200"/>
        <w:rPr>
          <w:rFonts w:eastAsia="方正仿宋_GBK"/>
          <w:sz w:val="32"/>
          <w:szCs w:val="32"/>
        </w:rPr>
      </w:pPr>
      <w:r>
        <w:rPr>
          <w:rFonts w:hint="eastAsia" w:ascii="方正黑体_GBK" w:eastAsia="方正黑体_GBK"/>
          <w:color w:val="000000"/>
          <w:sz w:val="32"/>
          <w:szCs w:val="32"/>
        </w:rPr>
        <w:t>第十二条</w:t>
      </w:r>
      <w:r>
        <w:rPr>
          <w:rFonts w:eastAsia="方正仿宋_GBK"/>
          <w:color w:val="000000"/>
          <w:sz w:val="32"/>
          <w:szCs w:val="32"/>
        </w:rPr>
        <w:t xml:space="preserve">  </w:t>
      </w:r>
      <w:r>
        <w:rPr>
          <w:rFonts w:eastAsia="方正仿宋_GBK"/>
          <w:sz w:val="32"/>
          <w:szCs w:val="32"/>
        </w:rPr>
        <w:t>举办单位在培训结束后应当及时办理报销手续。培训费报销时应当提供培训通知、实际参训人员签到表、讲课费签收单以及培训场所出具的原始明细单据等凭证。</w:t>
      </w:r>
    </w:p>
    <w:p>
      <w:pPr>
        <w:snapToGrid w:val="0"/>
        <w:spacing w:line="576" w:lineRule="exact"/>
        <w:ind w:firstLine="640" w:firstLineChars="200"/>
        <w:rPr>
          <w:rFonts w:eastAsia="方正仿宋_GBK"/>
          <w:color w:val="000000"/>
          <w:sz w:val="32"/>
          <w:szCs w:val="32"/>
        </w:rPr>
      </w:pPr>
      <w:r>
        <w:rPr>
          <w:rFonts w:hint="eastAsia" w:ascii="方正黑体_GBK" w:eastAsia="方正黑体_GBK"/>
          <w:color w:val="000000"/>
          <w:sz w:val="32"/>
          <w:szCs w:val="32"/>
        </w:rPr>
        <w:t>第十三条</w:t>
      </w:r>
      <w:r>
        <w:rPr>
          <w:rFonts w:eastAsia="方正仿宋_GBK"/>
          <w:color w:val="000000"/>
          <w:sz w:val="32"/>
          <w:szCs w:val="32"/>
        </w:rPr>
        <w:t xml:space="preserve">  </w:t>
      </w:r>
      <w:r>
        <w:rPr>
          <w:rFonts w:eastAsia="方正仿宋_GBK"/>
          <w:sz w:val="32"/>
          <w:szCs w:val="32"/>
        </w:rPr>
        <w:t>培训费支付应当按照国库集中支付和公务卡管理</w:t>
      </w:r>
      <w:r>
        <w:rPr>
          <w:rFonts w:eastAsia="方正仿宋_GBK"/>
          <w:color w:val="000000"/>
          <w:sz w:val="32"/>
          <w:szCs w:val="32"/>
        </w:rPr>
        <w:t>的有关制度执行，除小额零星开支以外的培训费用以银行转账或公务卡方式结算，不得以现金方式支付。</w:t>
      </w:r>
    </w:p>
    <w:p>
      <w:pPr>
        <w:snapToGrid w:val="0"/>
        <w:spacing w:line="576" w:lineRule="exact"/>
        <w:ind w:firstLine="640" w:firstLineChars="200"/>
        <w:rPr>
          <w:rFonts w:eastAsia="方正仿宋_GBK"/>
          <w:sz w:val="32"/>
          <w:szCs w:val="32"/>
        </w:rPr>
      </w:pPr>
      <w:r>
        <w:rPr>
          <w:rFonts w:hint="eastAsia" w:ascii="方正黑体_GBK" w:eastAsia="方正黑体_GBK"/>
          <w:color w:val="000000"/>
          <w:sz w:val="32"/>
          <w:szCs w:val="32"/>
        </w:rPr>
        <w:t>第十四条</w:t>
      </w:r>
      <w:r>
        <w:rPr>
          <w:rFonts w:eastAsia="方正仿宋_GBK"/>
          <w:color w:val="000000"/>
          <w:sz w:val="32"/>
          <w:szCs w:val="32"/>
        </w:rPr>
        <w:t xml:space="preserve">  </w:t>
      </w:r>
      <w:r>
        <w:rPr>
          <w:rFonts w:eastAsia="方正仿宋_GBK"/>
          <w:sz w:val="32"/>
          <w:szCs w:val="32"/>
        </w:rPr>
        <w:t>对未经批准和应办未办政府采购手续的培训，以及超范围、超标准开支的经费一律不予报销。</w:t>
      </w:r>
    </w:p>
    <w:p>
      <w:pPr>
        <w:snapToGrid w:val="0"/>
        <w:spacing w:line="576" w:lineRule="exact"/>
        <w:ind w:firstLine="640" w:firstLineChars="200"/>
        <w:rPr>
          <w:rFonts w:eastAsia="方正仿宋_GBK"/>
          <w:sz w:val="32"/>
          <w:szCs w:val="32"/>
        </w:rPr>
      </w:pPr>
      <w:r>
        <w:rPr>
          <w:rFonts w:hint="eastAsia" w:ascii="方正黑体_GBK" w:eastAsia="方正黑体_GBK"/>
          <w:color w:val="000000"/>
          <w:sz w:val="32"/>
          <w:szCs w:val="32"/>
        </w:rPr>
        <w:t>第十五条</w:t>
      </w:r>
      <w:r>
        <w:rPr>
          <w:rFonts w:eastAsia="方正仿宋_GBK"/>
          <w:color w:val="000000"/>
          <w:sz w:val="32"/>
          <w:szCs w:val="32"/>
        </w:rPr>
        <w:t xml:space="preserve">  </w:t>
      </w:r>
      <w:r>
        <w:rPr>
          <w:rFonts w:eastAsia="方正仿宋_GBK"/>
          <w:sz w:val="32"/>
          <w:szCs w:val="32"/>
        </w:rPr>
        <w:t>各单位不得向培训对象收取培训费，不得以任何方式转嫁或摊派培训费用。由于培训费标准调整而增加的培训费支出，由各单位通过调整培训方式、压缩培训开支、调整部门预算等途径解决，不能因此增加部门预算总额。</w:t>
      </w:r>
    </w:p>
    <w:p>
      <w:pPr>
        <w:snapToGrid w:val="0"/>
        <w:spacing w:line="576" w:lineRule="exact"/>
        <w:ind w:firstLine="640" w:firstLineChars="200"/>
        <w:rPr>
          <w:rFonts w:eastAsia="方正仿宋_GBK"/>
          <w:sz w:val="32"/>
          <w:szCs w:val="32"/>
        </w:rPr>
      </w:pPr>
      <w:r>
        <w:rPr>
          <w:rFonts w:hint="eastAsia" w:ascii="方正黑体_GBK" w:eastAsia="方正黑体_GBK"/>
          <w:color w:val="000000"/>
          <w:sz w:val="32"/>
          <w:szCs w:val="32"/>
        </w:rPr>
        <w:t>第十六条</w:t>
      </w:r>
      <w:r>
        <w:rPr>
          <w:rFonts w:eastAsia="方正仿宋_GBK"/>
          <w:sz w:val="32"/>
          <w:szCs w:val="32"/>
        </w:rPr>
        <w:t xml:space="preserve">  各单位应当将培训班的名称、日程、人数、经费开支等情况，以适当方式进行公开。</w:t>
      </w:r>
    </w:p>
    <w:p>
      <w:pPr>
        <w:snapToGrid w:val="0"/>
        <w:spacing w:line="576" w:lineRule="exact"/>
        <w:ind w:firstLine="640" w:firstLineChars="200"/>
        <w:rPr>
          <w:rFonts w:eastAsia="方正仿宋_GBK"/>
          <w:color w:val="000000"/>
          <w:sz w:val="32"/>
          <w:szCs w:val="32"/>
        </w:rPr>
      </w:pPr>
      <w:r>
        <w:rPr>
          <w:rFonts w:hint="eastAsia" w:ascii="方正黑体_GBK" w:eastAsia="方正黑体_GBK"/>
          <w:color w:val="000000"/>
          <w:sz w:val="32"/>
          <w:szCs w:val="32"/>
        </w:rPr>
        <w:t>第十七条</w:t>
      </w:r>
      <w:r>
        <w:rPr>
          <w:rFonts w:eastAsia="方正仿宋_GBK"/>
          <w:color w:val="000000"/>
          <w:sz w:val="32"/>
          <w:szCs w:val="32"/>
        </w:rPr>
        <w:t xml:space="preserve">  市财政局将会同有关部门对各单位培训活动和培训费使用管理情况进行监督检查。主要内容包括：</w:t>
      </w:r>
    </w:p>
    <w:p>
      <w:pPr>
        <w:adjustRightInd w:val="0"/>
        <w:snapToGrid w:val="0"/>
        <w:spacing w:line="576" w:lineRule="exact"/>
        <w:ind w:firstLine="640" w:firstLineChars="200"/>
        <w:rPr>
          <w:rFonts w:eastAsia="方正仿宋_GBK"/>
          <w:color w:val="000000"/>
          <w:sz w:val="32"/>
          <w:szCs w:val="32"/>
        </w:rPr>
      </w:pPr>
      <w:r>
        <w:rPr>
          <w:rFonts w:hint="eastAsia" w:eastAsia="方正仿宋_GBK"/>
          <w:color w:val="000000"/>
          <w:sz w:val="32"/>
          <w:szCs w:val="32"/>
        </w:rPr>
        <w:t>（一）</w:t>
      </w:r>
      <w:r>
        <w:rPr>
          <w:rFonts w:eastAsia="方正仿宋_GBK"/>
          <w:color w:val="000000"/>
          <w:sz w:val="32"/>
          <w:szCs w:val="32"/>
        </w:rPr>
        <w:t>是否制定培训管理内控制度；</w:t>
      </w:r>
    </w:p>
    <w:p>
      <w:pPr>
        <w:adjustRightInd w:val="0"/>
        <w:snapToGrid w:val="0"/>
        <w:spacing w:line="576" w:lineRule="exact"/>
        <w:ind w:firstLine="640" w:firstLineChars="200"/>
        <w:rPr>
          <w:rFonts w:eastAsia="方正仿宋_GBK"/>
          <w:color w:val="000000"/>
          <w:sz w:val="32"/>
          <w:szCs w:val="32"/>
        </w:rPr>
      </w:pPr>
      <w:r>
        <w:rPr>
          <w:rFonts w:hint="eastAsia" w:eastAsia="方正仿宋_GBK"/>
          <w:color w:val="000000"/>
          <w:sz w:val="32"/>
          <w:szCs w:val="32"/>
        </w:rPr>
        <w:t>（二）</w:t>
      </w:r>
      <w:r>
        <w:rPr>
          <w:rFonts w:eastAsia="方正仿宋_GBK"/>
          <w:color w:val="000000"/>
          <w:sz w:val="32"/>
          <w:szCs w:val="32"/>
        </w:rPr>
        <w:t>培训费开支范围和开支标准是否符合规定；</w:t>
      </w:r>
    </w:p>
    <w:p>
      <w:pPr>
        <w:adjustRightInd w:val="0"/>
        <w:snapToGrid w:val="0"/>
        <w:spacing w:line="576" w:lineRule="exact"/>
        <w:ind w:firstLine="640" w:firstLineChars="200"/>
        <w:rPr>
          <w:rFonts w:eastAsia="方正仿宋_GBK"/>
          <w:color w:val="000000"/>
          <w:sz w:val="32"/>
          <w:szCs w:val="32"/>
        </w:rPr>
      </w:pPr>
      <w:r>
        <w:rPr>
          <w:rFonts w:hint="eastAsia" w:eastAsia="方正仿宋_GBK"/>
          <w:color w:val="000000"/>
          <w:sz w:val="32"/>
          <w:szCs w:val="32"/>
        </w:rPr>
        <w:t>（三）</w:t>
      </w:r>
      <w:r>
        <w:rPr>
          <w:rFonts w:eastAsia="方正仿宋_GBK"/>
          <w:color w:val="000000"/>
          <w:sz w:val="32"/>
          <w:szCs w:val="32"/>
        </w:rPr>
        <w:t>培训费报销和支付是否符合规定；</w:t>
      </w:r>
    </w:p>
    <w:p>
      <w:pPr>
        <w:adjustRightInd w:val="0"/>
        <w:snapToGrid w:val="0"/>
        <w:spacing w:line="576" w:lineRule="exact"/>
        <w:ind w:firstLine="640" w:firstLineChars="200"/>
        <w:rPr>
          <w:rFonts w:eastAsia="方正仿宋_GBK"/>
          <w:color w:val="000000"/>
          <w:sz w:val="32"/>
          <w:szCs w:val="32"/>
        </w:rPr>
      </w:pPr>
      <w:r>
        <w:rPr>
          <w:rFonts w:hint="eastAsia" w:eastAsia="方正仿宋_GBK"/>
          <w:color w:val="000000"/>
          <w:sz w:val="32"/>
          <w:szCs w:val="32"/>
        </w:rPr>
        <w:t>（四）</w:t>
      </w:r>
      <w:r>
        <w:rPr>
          <w:rFonts w:eastAsia="方正仿宋_GBK"/>
          <w:color w:val="000000"/>
          <w:sz w:val="32"/>
          <w:szCs w:val="32"/>
        </w:rPr>
        <w:t>是否存在虚报培训费用的行为；</w:t>
      </w:r>
    </w:p>
    <w:p>
      <w:pPr>
        <w:adjustRightInd w:val="0"/>
        <w:snapToGrid w:val="0"/>
        <w:spacing w:line="576" w:lineRule="exact"/>
        <w:ind w:firstLine="640" w:firstLineChars="200"/>
        <w:rPr>
          <w:rFonts w:eastAsia="方正仿宋_GBK"/>
          <w:color w:val="000000"/>
          <w:sz w:val="32"/>
          <w:szCs w:val="32"/>
        </w:rPr>
      </w:pPr>
      <w:r>
        <w:rPr>
          <w:rFonts w:hint="eastAsia" w:eastAsia="方正仿宋_GBK"/>
          <w:color w:val="000000"/>
          <w:sz w:val="32"/>
          <w:szCs w:val="32"/>
        </w:rPr>
        <w:t>（五）</w:t>
      </w:r>
      <w:r>
        <w:rPr>
          <w:rFonts w:eastAsia="方正仿宋_GBK"/>
          <w:color w:val="000000"/>
          <w:sz w:val="32"/>
          <w:szCs w:val="32"/>
        </w:rPr>
        <w:t>是否存在转嫁、摊派培训费用的行为；</w:t>
      </w:r>
    </w:p>
    <w:p>
      <w:pPr>
        <w:adjustRightInd w:val="0"/>
        <w:snapToGrid w:val="0"/>
        <w:spacing w:line="576" w:lineRule="exact"/>
        <w:ind w:firstLine="640" w:firstLineChars="200"/>
        <w:rPr>
          <w:rFonts w:eastAsia="方正仿宋_GBK"/>
          <w:color w:val="000000"/>
          <w:sz w:val="32"/>
          <w:szCs w:val="32"/>
        </w:rPr>
      </w:pPr>
      <w:r>
        <w:rPr>
          <w:rFonts w:hint="eastAsia" w:eastAsia="方正仿宋_GBK"/>
          <w:color w:val="000000"/>
          <w:sz w:val="32"/>
          <w:szCs w:val="32"/>
        </w:rPr>
        <w:t>（六）</w:t>
      </w:r>
      <w:r>
        <w:rPr>
          <w:rFonts w:eastAsia="方正仿宋_GBK"/>
          <w:color w:val="000000"/>
          <w:sz w:val="32"/>
          <w:szCs w:val="32"/>
        </w:rPr>
        <w:t>是否存在向参训人员收费的行为；</w:t>
      </w:r>
    </w:p>
    <w:p>
      <w:pPr>
        <w:adjustRightInd w:val="0"/>
        <w:snapToGrid w:val="0"/>
        <w:spacing w:line="576" w:lineRule="exact"/>
        <w:ind w:firstLine="640" w:firstLineChars="200"/>
        <w:rPr>
          <w:rFonts w:eastAsia="方正仿宋_GBK"/>
          <w:color w:val="000000"/>
          <w:sz w:val="32"/>
          <w:szCs w:val="32"/>
        </w:rPr>
      </w:pPr>
      <w:r>
        <w:rPr>
          <w:rFonts w:hint="eastAsia" w:eastAsia="方正仿宋_GBK"/>
          <w:color w:val="000000"/>
          <w:sz w:val="32"/>
          <w:szCs w:val="32"/>
        </w:rPr>
        <w:t>（七）</w:t>
      </w:r>
      <w:r>
        <w:rPr>
          <w:rFonts w:eastAsia="方正仿宋_GBK"/>
          <w:color w:val="000000"/>
          <w:sz w:val="32"/>
          <w:szCs w:val="32"/>
        </w:rPr>
        <w:t>是否存在其他违反本规定的行为。</w:t>
      </w:r>
    </w:p>
    <w:p>
      <w:pPr>
        <w:snapToGrid w:val="0"/>
        <w:spacing w:line="576" w:lineRule="exact"/>
        <w:ind w:firstLine="640" w:firstLineChars="200"/>
        <w:rPr>
          <w:rFonts w:eastAsia="方正仿宋_GBK"/>
          <w:sz w:val="32"/>
          <w:szCs w:val="32"/>
        </w:rPr>
      </w:pPr>
      <w:r>
        <w:rPr>
          <w:rFonts w:hint="eastAsia" w:ascii="方正黑体_GBK" w:eastAsia="方正黑体_GBK"/>
          <w:color w:val="000000"/>
          <w:sz w:val="32"/>
          <w:szCs w:val="32"/>
        </w:rPr>
        <w:t>第十八条</w:t>
      </w:r>
      <w:r>
        <w:rPr>
          <w:rFonts w:eastAsia="方正仿宋_GBK"/>
          <w:color w:val="000000"/>
          <w:sz w:val="32"/>
          <w:szCs w:val="32"/>
        </w:rPr>
        <w:t xml:space="preserve">  对于检查中发现的违反本规定行为的，</w:t>
      </w:r>
      <w:r>
        <w:rPr>
          <w:rFonts w:eastAsia="方正仿宋_GBK"/>
          <w:sz w:val="32"/>
          <w:szCs w:val="32"/>
        </w:rPr>
        <w:t>由市财政局会同有关部门责令改正，涉及违规资金的，予以追回，并视情况予以通报。对直接责任人和相关负责人，报请其所在单位按规定给予行政处分。涉嫌违法的，移交司法机关处理。</w:t>
      </w:r>
    </w:p>
    <w:p>
      <w:pPr>
        <w:snapToGrid w:val="0"/>
        <w:spacing w:line="576" w:lineRule="exact"/>
        <w:ind w:firstLine="640" w:firstLineChars="200"/>
        <w:rPr>
          <w:rFonts w:eastAsia="方正仿宋_GBK"/>
          <w:color w:val="000000"/>
          <w:sz w:val="32"/>
          <w:szCs w:val="32"/>
        </w:rPr>
      </w:pPr>
      <w:r>
        <w:rPr>
          <w:rFonts w:hint="eastAsia" w:ascii="方正黑体_GBK" w:eastAsia="方正黑体_GBK"/>
          <w:color w:val="000000"/>
          <w:sz w:val="32"/>
          <w:szCs w:val="32"/>
        </w:rPr>
        <w:t>第十九条</w:t>
      </w:r>
      <w:r>
        <w:rPr>
          <w:rFonts w:eastAsia="方正仿宋_GBK"/>
          <w:color w:val="000000"/>
          <w:sz w:val="32"/>
          <w:szCs w:val="32"/>
        </w:rPr>
        <w:t xml:space="preserve">  各单位应按照本规定，结合本单位业务特点和工作实际，制定培训费管理具体规定。</w:t>
      </w:r>
    </w:p>
    <w:p>
      <w:pPr>
        <w:snapToGrid w:val="0"/>
        <w:spacing w:line="576" w:lineRule="exact"/>
        <w:ind w:firstLine="640" w:firstLineChars="200"/>
        <w:rPr>
          <w:rFonts w:eastAsia="方正仿宋_GBK"/>
          <w:sz w:val="32"/>
          <w:szCs w:val="32"/>
        </w:rPr>
      </w:pPr>
      <w:r>
        <w:rPr>
          <w:rFonts w:hint="eastAsia" w:ascii="方正黑体_GBK" w:eastAsia="方正黑体_GBK"/>
          <w:color w:val="000000"/>
          <w:sz w:val="32"/>
          <w:szCs w:val="32"/>
        </w:rPr>
        <w:t>第二十条</w:t>
      </w:r>
      <w:r>
        <w:rPr>
          <w:rFonts w:eastAsia="方正仿宋_GBK"/>
          <w:color w:val="000000"/>
          <w:sz w:val="32"/>
          <w:szCs w:val="32"/>
        </w:rPr>
        <w:t xml:space="preserve">  </w:t>
      </w:r>
      <w:r>
        <w:rPr>
          <w:rFonts w:eastAsia="方正仿宋_GBK"/>
          <w:sz w:val="32"/>
          <w:szCs w:val="32"/>
        </w:rPr>
        <w:t>市委组织部、市委统战部、市人社局组织的调训和统一培训，不适用本规定。非参照公务员法管理事业单位和社会团体等各类机构举办的培训参照本规定执行。</w:t>
      </w:r>
    </w:p>
    <w:p>
      <w:pPr>
        <w:snapToGrid w:val="0"/>
        <w:spacing w:line="576" w:lineRule="exact"/>
        <w:ind w:firstLine="640" w:firstLineChars="200"/>
        <w:rPr>
          <w:rFonts w:eastAsia="方正仿宋_GBK"/>
          <w:color w:val="FF0000"/>
          <w:sz w:val="32"/>
          <w:szCs w:val="32"/>
        </w:rPr>
      </w:pPr>
      <w:r>
        <w:rPr>
          <w:rFonts w:hint="eastAsia" w:ascii="方正黑体_GBK" w:eastAsia="方正黑体_GBK"/>
          <w:color w:val="000000"/>
          <w:sz w:val="32"/>
          <w:szCs w:val="32"/>
        </w:rPr>
        <w:t>第二十一条</w:t>
      </w:r>
      <w:r>
        <w:rPr>
          <w:rFonts w:eastAsia="方正仿宋_GBK"/>
          <w:color w:val="FF0000"/>
          <w:sz w:val="32"/>
          <w:szCs w:val="32"/>
        </w:rPr>
        <w:t xml:space="preserve">  </w:t>
      </w:r>
      <w:r>
        <w:rPr>
          <w:rFonts w:eastAsia="方正仿宋_GBK"/>
          <w:sz w:val="32"/>
          <w:szCs w:val="32"/>
        </w:rPr>
        <w:t>本规定自发布之日起施行。《温州市市级机关培训费管理规定》（温政办〔2014〕41号）同时废止。</w:t>
      </w:r>
    </w:p>
    <w:p>
      <w:pPr>
        <w:snapToGrid w:val="0"/>
        <w:spacing w:line="576" w:lineRule="exact"/>
        <w:ind w:firstLine="640" w:firstLineChars="200"/>
        <w:rPr>
          <w:rFonts w:eastAsia="方正仿宋_GBK"/>
          <w:color w:val="FF0000"/>
          <w:sz w:val="32"/>
          <w:szCs w:val="32"/>
        </w:rPr>
      </w:pPr>
      <w:r>
        <w:rPr>
          <w:rFonts w:hint="eastAsia" w:ascii="方正黑体_GBK" w:eastAsia="方正黑体_GBK"/>
          <w:color w:val="000000"/>
          <w:sz w:val="32"/>
          <w:szCs w:val="32"/>
        </w:rPr>
        <w:t>第二十二条</w:t>
      </w:r>
      <w:r>
        <w:rPr>
          <w:rFonts w:eastAsia="方正仿宋_GBK"/>
          <w:color w:val="FF0000"/>
          <w:sz w:val="32"/>
          <w:szCs w:val="32"/>
        </w:rPr>
        <w:t xml:space="preserve">  </w:t>
      </w:r>
      <w:r>
        <w:rPr>
          <w:rFonts w:eastAsia="方正仿宋_GBK"/>
          <w:sz w:val="32"/>
          <w:szCs w:val="32"/>
        </w:rPr>
        <w:t>本规定由市财政局负责解释。</w:t>
      </w:r>
    </w:p>
    <w:p>
      <w:pPr>
        <w:autoSpaceDE w:val="0"/>
        <w:autoSpaceDN w:val="0"/>
        <w:adjustRightInd w:val="0"/>
        <w:snapToGrid w:val="0"/>
        <w:spacing w:line="560" w:lineRule="exact"/>
        <w:ind w:right="1105" w:rightChars="526"/>
        <w:rPr>
          <w:rFonts w:eastAsia="方正仿宋_GBK"/>
          <w:spacing w:val="40"/>
          <w:sz w:val="32"/>
        </w:rPr>
      </w:pPr>
    </w:p>
    <w:p>
      <w:pPr>
        <w:snapToGrid w:val="0"/>
        <w:spacing w:line="336" w:lineRule="auto"/>
        <w:rPr>
          <w:rFonts w:ascii="宋体" w:hAnsi="宋体" w:cs="宋体"/>
          <w:sz w:val="32"/>
        </w:rPr>
      </w:pPr>
    </w:p>
    <w:p>
      <w:pPr>
        <w:snapToGrid w:val="0"/>
        <w:rPr>
          <w:rFonts w:hint="eastAsia"/>
          <w:sz w:val="15"/>
        </w:rPr>
      </w:pPr>
    </w:p>
    <w:p>
      <w:pPr>
        <w:snapToGrid w:val="0"/>
        <w:rPr>
          <w:rFonts w:hint="eastAsia"/>
          <w:sz w:val="15"/>
        </w:rPr>
      </w:pPr>
    </w:p>
    <w:p>
      <w:pPr>
        <w:snapToGrid w:val="0"/>
        <w:rPr>
          <w:rFonts w:hint="eastAsia"/>
          <w:sz w:val="15"/>
        </w:rPr>
      </w:pPr>
    </w:p>
    <w:p>
      <w:pPr>
        <w:snapToGrid w:val="0"/>
        <w:rPr>
          <w:rFonts w:hint="eastAsia"/>
          <w:sz w:val="15"/>
        </w:rPr>
      </w:pPr>
      <w:bookmarkStart w:id="0" w:name="_GoBack"/>
      <w:bookmarkEnd w:id="0"/>
    </w:p>
    <w:p>
      <w:pPr>
        <w:snapToGrid w:val="0"/>
        <w:rPr>
          <w:rFonts w:hint="eastAsia"/>
          <w:sz w:val="15"/>
        </w:rPr>
      </w:pPr>
    </w:p>
    <w:p>
      <w:pPr>
        <w:snapToGrid w:val="0"/>
        <w:rPr>
          <w:rFonts w:hint="eastAsia"/>
          <w:sz w:val="15"/>
        </w:rPr>
      </w:pPr>
    </w:p>
    <w:p>
      <w:pPr>
        <w:snapToGrid w:val="0"/>
        <w:rPr>
          <w:rFonts w:hint="eastAsia"/>
          <w:sz w:val="15"/>
        </w:rPr>
      </w:pPr>
    </w:p>
    <w:p>
      <w:pPr>
        <w:snapToGrid w:val="0"/>
        <w:rPr>
          <w:rFonts w:hint="eastAsia"/>
          <w:sz w:val="15"/>
        </w:rPr>
      </w:pPr>
    </w:p>
    <w:p>
      <w:pPr>
        <w:snapToGrid w:val="0"/>
        <w:rPr>
          <w:sz w:val="15"/>
        </w:rPr>
      </w:pPr>
    </w:p>
    <w:p>
      <w:pPr>
        <w:snapToGrid w:val="0"/>
        <w:spacing w:line="264" w:lineRule="auto"/>
        <w:rPr>
          <w:rFonts w:eastAsia="方正仿宋_GBK"/>
          <w:sz w:val="32"/>
        </w:rPr>
      </w:pPr>
      <w:r>
        <w:rPr>
          <w:rFonts w:eastAsia="方正仿宋_GBK"/>
          <w:sz w:val="32"/>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245745</wp:posOffset>
                </wp:positionV>
                <wp:extent cx="5600700" cy="0"/>
                <wp:effectExtent l="0" t="0" r="0" b="0"/>
                <wp:wrapNone/>
                <wp:docPr id="3" name="直线 27"/>
                <wp:cNvGraphicFramePr/>
                <a:graphic xmlns:a="http://schemas.openxmlformats.org/drawingml/2006/main">
                  <a:graphicData uri="http://schemas.microsoft.com/office/word/2010/wordprocessingShape">
                    <wps:wsp>
                      <wps:cNvSpPr/>
                      <wps:spPr>
                        <a:xfrm>
                          <a:off x="0" y="0"/>
                          <a:ext cx="5600700" cy="0"/>
                        </a:xfrm>
                        <a:prstGeom prst="line">
                          <a:avLst/>
                        </a:prstGeom>
                        <a:ln w="4445" cap="flat" cmpd="sng">
                          <a:solidFill>
                            <a:srgbClr val="000000"/>
                          </a:solidFill>
                          <a:prstDash val="solid"/>
                          <a:headEnd type="none" w="med" len="med"/>
                          <a:tailEnd type="none" w="med" len="med"/>
                        </a:ln>
                      </wps:spPr>
                      <wps:bodyPr upright="1"/>
                    </wps:wsp>
                  </a:graphicData>
                </a:graphic>
              </wp:anchor>
            </w:drawing>
          </mc:Choice>
          <mc:Fallback>
            <w:pict>
              <v:line id="直线 27" o:spid="_x0000_s1026" o:spt="20" style="position:absolute;left:0pt;margin-left:0pt;margin-top:19.35pt;height:0pt;width:441pt;z-index:251658240;mso-width-relative:page;mso-height-relative:page;" filled="f" stroked="t" coordsize="21600,21600" o:gfxdata="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xk/gqNUAAAAGAQAADwAAAAAAAAABACAAAAAiAAAAZHJz&#10;L2Rvd25yZXYueG1sUEsBAhQAFAAAAAgAh07iQF+0d0zOAQAAjgMAAA4AAAAAAAAAAQAgAAAAJAEA&#10;AGRycy9lMm9Eb2MueG1sUEsFBgAAAAAGAAYAWQEAAGQFAAAAAA==&#10;">
                <v:fill on="f" focussize="0,0"/>
                <v:stroke weight="0.35pt" color="#000000" joinstyle="round"/>
                <v:imagedata o:title=""/>
                <o:lock v:ext="edit" aspectratio="f"/>
              </v:line>
            </w:pict>
          </mc:Fallback>
        </mc:AlternateContent>
      </w:r>
    </w:p>
    <w:p>
      <w:pPr>
        <w:snapToGrid w:val="0"/>
        <w:spacing w:line="264" w:lineRule="auto"/>
        <w:ind w:left="210" w:leftChars="100" w:right="210" w:rightChars="100"/>
        <w:rPr>
          <w:rFonts w:eastAsia="方正仿宋_GBK"/>
          <w:spacing w:val="12"/>
          <w:sz w:val="28"/>
          <w:szCs w:val="28"/>
        </w:rPr>
      </w:pPr>
      <w:r>
        <w:rPr>
          <w:rFonts w:eastAsia="方正仿宋_GBK"/>
          <w:spacing w:val="12"/>
          <w:sz w:val="28"/>
          <w:szCs w:val="28"/>
        </w:rPr>
        <w:t>抄送：市委各部门，市人大常委会、市政协办公室，温州军分区，</w:t>
      </w:r>
    </w:p>
    <w:p>
      <w:pPr>
        <w:snapToGrid w:val="0"/>
        <w:spacing w:line="264" w:lineRule="auto"/>
        <w:ind w:right="210" w:rightChars="100" w:firstLine="1064" w:firstLineChars="350"/>
        <w:rPr>
          <w:rFonts w:eastAsia="方正仿宋_GBK"/>
          <w:spacing w:val="12"/>
          <w:sz w:val="28"/>
          <w:szCs w:val="28"/>
        </w:rPr>
      </w:pPr>
      <w:r>
        <w:rPr>
          <w:rFonts w:eastAsia="方正仿宋_GBK"/>
          <w:spacing w:val="12"/>
          <w:sz w:val="28"/>
          <w:szCs w:val="28"/>
        </w:rPr>
        <w:t>市法院，市检察院。</w:t>
      </w:r>
    </w:p>
    <w:p>
      <w:pPr>
        <w:snapToGrid w:val="0"/>
        <w:spacing w:line="264" w:lineRule="auto"/>
        <w:ind w:right="210" w:rightChars="100"/>
        <w:rPr>
          <w:rFonts w:ascii="仿宋_GB2312" w:eastAsia="仿宋_GB2312"/>
          <w:spacing w:val="-4"/>
          <w:sz w:val="15"/>
          <w:szCs w:val="15"/>
        </w:rPr>
      </w:pPr>
      <w:r>
        <w:rPr>
          <w:rFonts w:eastAsia="方正仿宋_GBK"/>
          <w:position w:val="-12"/>
          <w:sz w:val="28"/>
          <w:szCs w:val="28"/>
        </w:rPr>
        <mc:AlternateContent>
          <mc:Choice Requires="wps">
            <w:drawing>
              <wp:anchor distT="0" distB="0" distL="114300" distR="114300" simplePos="0" relativeHeight="251657216" behindDoc="0" locked="0" layoutInCell="1" allowOverlap="1">
                <wp:simplePos x="0" y="0"/>
                <wp:positionH relativeFrom="column">
                  <wp:posOffset>9525</wp:posOffset>
                </wp:positionH>
                <wp:positionV relativeFrom="paragraph">
                  <wp:posOffset>21590</wp:posOffset>
                </wp:positionV>
                <wp:extent cx="5600700" cy="0"/>
                <wp:effectExtent l="0" t="0" r="0" b="0"/>
                <wp:wrapNone/>
                <wp:docPr id="2" name="直线 26"/>
                <wp:cNvGraphicFramePr/>
                <a:graphic xmlns:a="http://schemas.openxmlformats.org/drawingml/2006/main">
                  <a:graphicData uri="http://schemas.microsoft.com/office/word/2010/wordprocessingShape">
                    <wps:wsp>
                      <wps:cNvSpPr/>
                      <wps:spPr>
                        <a:xfrm>
                          <a:off x="0" y="0"/>
                          <a:ext cx="5600700" cy="0"/>
                        </a:xfrm>
                        <a:prstGeom prst="line">
                          <a:avLst/>
                        </a:prstGeom>
                        <a:ln w="3175" cap="flat" cmpd="sng">
                          <a:solidFill>
                            <a:srgbClr val="000000"/>
                          </a:solidFill>
                          <a:prstDash val="solid"/>
                          <a:headEnd type="none" w="med" len="med"/>
                          <a:tailEnd type="none" w="med" len="med"/>
                        </a:ln>
                      </wps:spPr>
                      <wps:bodyPr upright="1"/>
                    </wps:wsp>
                  </a:graphicData>
                </a:graphic>
              </wp:anchor>
            </w:drawing>
          </mc:Choice>
          <mc:Fallback>
            <w:pict>
              <v:line id="直线 26" o:spid="_x0000_s1026" o:spt="20" style="position:absolute;left:0pt;margin-left:0.75pt;margin-top:1.7pt;height:0pt;width:441pt;z-index:251657216;mso-width-relative:page;mso-height-relative:page;" filled="f" stroked="t" coordsize="21600,21600" o:gfxdata="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KQsRffTAAAABQEAAA8AAAAAAAAAAQAgAAAAIgAAAGRycy9k&#10;b3ducmV2LnhtbFBLAQIUABQAAAAIAIdO4kDTbaQZzgEAAI4DAAAOAAAAAAAAAAEAIAAAACIBAABk&#10;cnMvZTJvRG9jLnhtbFBLBQYAAAAABgAGAFkBAABiBQAAAAA=&#10;">
                <v:fill on="f" focussize="0,0"/>
                <v:stroke weight="0.25pt" color="#000000" joinstyle="round"/>
                <v:imagedata o:title=""/>
                <o:lock v:ext="edit" aspectratio="f"/>
              </v:line>
            </w:pict>
          </mc:Fallback>
        </mc:AlternateContent>
      </w:r>
      <w:r>
        <w:rPr>
          <w:rFonts w:eastAsia="方正仿宋_GBK"/>
          <w:position w:val="-12"/>
          <w:sz w:val="28"/>
          <w:szCs w:val="28"/>
        </w:rPr>
        <mc:AlternateContent>
          <mc:Choice Requires="wps">
            <w:drawing>
              <wp:anchor distT="0" distB="0" distL="114300" distR="114300" simplePos="0" relativeHeight="251656192" behindDoc="0" locked="0" layoutInCell="1" allowOverlap="1">
                <wp:simplePos x="0" y="0"/>
                <wp:positionH relativeFrom="column">
                  <wp:posOffset>9525</wp:posOffset>
                </wp:positionH>
                <wp:positionV relativeFrom="paragraph">
                  <wp:posOffset>345440</wp:posOffset>
                </wp:positionV>
                <wp:extent cx="5600700" cy="0"/>
                <wp:effectExtent l="0" t="0" r="0" b="0"/>
                <wp:wrapNone/>
                <wp:docPr id="1" name="直线 25"/>
                <wp:cNvGraphicFramePr/>
                <a:graphic xmlns:a="http://schemas.openxmlformats.org/drawingml/2006/main">
                  <a:graphicData uri="http://schemas.microsoft.com/office/word/2010/wordprocessingShape">
                    <wps:wsp>
                      <wps:cNvSpPr/>
                      <wps:spPr>
                        <a:xfrm>
                          <a:off x="0" y="0"/>
                          <a:ext cx="5600700" cy="0"/>
                        </a:xfrm>
                        <a:prstGeom prst="line">
                          <a:avLst/>
                        </a:prstGeom>
                        <a:ln w="4445" cap="flat" cmpd="sng">
                          <a:solidFill>
                            <a:srgbClr val="000000"/>
                          </a:solidFill>
                          <a:prstDash val="solid"/>
                          <a:headEnd type="none" w="med" len="med"/>
                          <a:tailEnd type="none" w="med" len="med"/>
                        </a:ln>
                      </wps:spPr>
                      <wps:bodyPr upright="1"/>
                    </wps:wsp>
                  </a:graphicData>
                </a:graphic>
              </wp:anchor>
            </w:drawing>
          </mc:Choice>
          <mc:Fallback>
            <w:pict>
              <v:line id="直线 25" o:spid="_x0000_s1026" o:spt="20" style="position:absolute;left:0pt;margin-left:0.75pt;margin-top:27.2pt;height:0pt;width:441pt;z-index:251656192;mso-width-relative:page;mso-height-relative:page;" filled="f" stroked="t" coordsize="21600,21600" o:gfxdata="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Gig04PUAAAABwEAAA8AAAAAAAAAAQAgAAAAIgAAAGRycy9k&#10;b3ducmV2LnhtbFBLAQIUABQAAAAIAIdO4kDsZkMxzQEAAI4DAAAOAAAAAAAAAAEAIAAAACMBAABk&#10;cnMvZTJvRG9jLnhtbFBLBQYAAAAABgAGAFkBAABiBQAAAAA=&#10;">
                <v:fill on="f" focussize="0,0"/>
                <v:stroke weight="0.35pt" color="#000000" joinstyle="round"/>
                <v:imagedata o:title=""/>
                <o:lock v:ext="edit" aspectratio="f"/>
              </v:line>
            </w:pict>
          </mc:Fallback>
        </mc:AlternateContent>
      </w:r>
      <w:r>
        <w:rPr>
          <w:rFonts w:eastAsia="方正仿宋_GBK"/>
          <w:position w:val="-12"/>
          <w:sz w:val="28"/>
          <w:szCs w:val="28"/>
        </w:rPr>
        <w:t xml:space="preserve">  </w:t>
      </w:r>
      <w:r>
        <w:rPr>
          <w:rFonts w:eastAsia="方正仿宋_GBK"/>
          <w:position w:val="-40"/>
          <w:sz w:val="28"/>
          <w:szCs w:val="28"/>
        </w:rPr>
        <w:t xml:space="preserve">温州市人民政府办公室   </w:t>
      </w:r>
      <w:r>
        <w:rPr>
          <w:rFonts w:eastAsia="方正仿宋_GBK"/>
          <w:spacing w:val="-4"/>
          <w:sz w:val="28"/>
          <w:szCs w:val="28"/>
        </w:rPr>
        <w:t xml:space="preserve">   </w:t>
      </w:r>
      <w:r>
        <w:rPr>
          <w:rFonts w:eastAsia="方正仿宋_GBK"/>
          <w:position w:val="-40"/>
          <w:sz w:val="28"/>
          <w:szCs w:val="28"/>
        </w:rPr>
        <w:t xml:space="preserve">       </w:t>
      </w:r>
      <w:r>
        <w:rPr>
          <w:rFonts w:hint="eastAsia" w:eastAsia="方正仿宋_GBK"/>
          <w:position w:val="-40"/>
          <w:sz w:val="28"/>
          <w:szCs w:val="28"/>
        </w:rPr>
        <w:t xml:space="preserve"> </w:t>
      </w:r>
      <w:r>
        <w:rPr>
          <w:rFonts w:eastAsia="方正仿宋_GBK"/>
          <w:position w:val="-40"/>
          <w:sz w:val="28"/>
          <w:szCs w:val="28"/>
        </w:rPr>
        <w:t xml:space="preserve">      </w:t>
      </w:r>
      <w:r>
        <w:rPr>
          <w:rFonts w:hint="eastAsia" w:eastAsia="方正仿宋_GBK"/>
          <w:position w:val="-40"/>
          <w:sz w:val="28"/>
          <w:szCs w:val="28"/>
        </w:rPr>
        <w:t xml:space="preserve"> </w:t>
      </w:r>
      <w:r>
        <w:rPr>
          <w:rFonts w:eastAsia="方正仿宋_GBK"/>
          <w:position w:val="-40"/>
          <w:sz w:val="28"/>
          <w:szCs w:val="28"/>
        </w:rPr>
        <w:t>201</w:t>
      </w:r>
      <w:r>
        <w:rPr>
          <w:rFonts w:hint="eastAsia" w:eastAsia="方正仿宋_GBK"/>
          <w:position w:val="-40"/>
          <w:sz w:val="28"/>
          <w:szCs w:val="28"/>
        </w:rPr>
        <w:t>8</w:t>
      </w:r>
      <w:r>
        <w:rPr>
          <w:rFonts w:eastAsia="方正仿宋_GBK"/>
          <w:position w:val="-40"/>
          <w:sz w:val="28"/>
          <w:szCs w:val="28"/>
        </w:rPr>
        <w:t>年</w:t>
      </w:r>
      <w:r>
        <w:rPr>
          <w:rFonts w:hint="eastAsia" w:eastAsia="方正仿宋_GBK"/>
          <w:position w:val="-40"/>
          <w:sz w:val="28"/>
          <w:szCs w:val="28"/>
        </w:rPr>
        <w:t>3</w:t>
      </w:r>
      <w:r>
        <w:rPr>
          <w:rFonts w:eastAsia="方正仿宋_GBK"/>
          <w:position w:val="-40"/>
          <w:sz w:val="28"/>
          <w:szCs w:val="28"/>
        </w:rPr>
        <w:t>月</w:t>
      </w:r>
      <w:r>
        <w:rPr>
          <w:rFonts w:hint="eastAsia" w:eastAsia="方正仿宋_GBK"/>
          <w:position w:val="-40"/>
          <w:sz w:val="28"/>
          <w:szCs w:val="28"/>
        </w:rPr>
        <w:t>7</w:t>
      </w:r>
      <w:r>
        <w:rPr>
          <w:rFonts w:eastAsia="方正仿宋_GBK"/>
          <w:position w:val="-40"/>
          <w:sz w:val="28"/>
          <w:szCs w:val="28"/>
        </w:rPr>
        <w:t>日印发</w:t>
      </w:r>
    </w:p>
    <w:sectPr>
      <w:pgSz w:w="11907" w:h="16840"/>
      <w:pgMar w:top="2155" w:right="1531" w:bottom="1985" w:left="1531" w:header="851" w:footer="1588"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文星简小标宋">
    <w:altName w:val="宋体"/>
    <w:panose1 w:val="00000000000000000000"/>
    <w:charset w:val="86"/>
    <w:family w:val="modern"/>
    <w:pitch w:val="default"/>
    <w:sig w:usb0="00000000" w:usb1="00000000" w:usb2="00000010" w:usb3="00000000" w:csb0="00040000" w:csb1="00000000"/>
  </w:font>
  <w:font w:name="仿宋_GB2312">
    <w:altName w:val="仿宋"/>
    <w:panose1 w:val="00000000000000000000"/>
    <w:charset w:val="00"/>
    <w:family w:val="modern"/>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方正仿宋_GBK">
    <w:altName w:val="Arial Unicode MS"/>
    <w:panose1 w:val="00000000000000000000"/>
    <w:charset w:val="86"/>
    <w:family w:val="script"/>
    <w:pitch w:val="default"/>
    <w:sig w:usb0="00000000" w:usb1="00000000" w:usb2="00000010" w:usb3="00000000" w:csb0="00040000" w:csb1="00000000"/>
  </w:font>
  <w:font w:name="方正大标宋_GBK">
    <w:altName w:val="Arial Unicode MS"/>
    <w:panose1 w:val="00000000000000000000"/>
    <w:charset w:val="86"/>
    <w:family w:val="script"/>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方正黑体_GBK">
    <w:altName w:val="Arial Unicode MS"/>
    <w:panose1 w:val="00000000000000000000"/>
    <w:charset w:val="86"/>
    <w:family w:val="script"/>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X$">
    <w:altName w:val="Segoe Print"/>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ind w:left="315" w:leftChars="150" w:right="315" w:rightChars="150"/>
      <w:rPr>
        <w:rStyle w:val="8"/>
        <w:sz w:val="28"/>
      </w:rPr>
    </w:pPr>
    <w:r>
      <w:rPr>
        <w:rStyle w:val="8"/>
        <w:rFonts w:hint="eastAsia"/>
        <w:sz w:val="28"/>
      </w:rPr>
      <w:t xml:space="preserve">— </w:t>
    </w:r>
    <w:r>
      <w:rPr>
        <w:rStyle w:val="8"/>
        <w:rFonts w:ascii="宋体" w:hAnsi="宋体"/>
        <w:sz w:val="28"/>
      </w:rPr>
      <w:fldChar w:fldCharType="begin"/>
    </w:r>
    <w:r>
      <w:rPr>
        <w:rStyle w:val="8"/>
        <w:rFonts w:ascii="宋体" w:hAnsi="宋体"/>
        <w:sz w:val="28"/>
      </w:rPr>
      <w:instrText xml:space="preserve">PAGE  </w:instrText>
    </w:r>
    <w:r>
      <w:rPr>
        <w:rStyle w:val="8"/>
        <w:rFonts w:ascii="宋体" w:hAnsi="宋体"/>
        <w:sz w:val="28"/>
      </w:rPr>
      <w:fldChar w:fldCharType="separate"/>
    </w:r>
    <w:r>
      <w:rPr>
        <w:rStyle w:val="8"/>
        <w:rFonts w:ascii="宋体" w:hAnsi="宋体"/>
        <w:sz w:val="28"/>
      </w:rPr>
      <w:t>2</w:t>
    </w:r>
    <w:r>
      <w:rPr>
        <w:rStyle w:val="8"/>
        <w:rFonts w:ascii="宋体" w:hAnsi="宋体"/>
        <w:sz w:val="28"/>
      </w:rPr>
      <w:fldChar w:fldCharType="end"/>
    </w:r>
    <w:r>
      <w:rPr>
        <w:rStyle w:val="8"/>
        <w:rFonts w:hint="eastAsia" w:ascii="宋体" w:hAnsi="宋体"/>
        <w:sz w:val="28"/>
      </w:rPr>
      <w:t xml:space="preserve"> </w:t>
    </w:r>
    <w:r>
      <w:rPr>
        <w:rStyle w:val="8"/>
        <w:rFonts w:hint="eastAsia"/>
        <w:sz w:val="28"/>
      </w:rPr>
      <w:t>—</w:t>
    </w:r>
  </w:p>
  <w:p>
    <w:pPr>
      <w:pStyle w:val="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ind w:left="315" w:leftChars="150"/>
      <w:rPr>
        <w:rStyle w:val="8"/>
      </w:rPr>
    </w:pPr>
    <w:r>
      <w:rPr>
        <w:rStyle w:val="8"/>
        <w:rFonts w:hint="eastAsia" w:ascii="宋体" w:hAnsi="宋体"/>
        <w:sz w:val="28"/>
        <w:szCs w:val="28"/>
      </w:rPr>
      <w:t>—</w:t>
    </w:r>
    <w:r>
      <w:rPr>
        <w:rStyle w:val="8"/>
        <w:rFonts w:ascii="宋体" w:hAnsi="宋体"/>
        <w:sz w:val="28"/>
        <w:szCs w:val="28"/>
      </w:rPr>
      <w:t xml:space="preserve"> </w:t>
    </w:r>
    <w:r>
      <w:rPr>
        <w:rStyle w:val="8"/>
        <w:rFonts w:ascii="宋体" w:hAnsi="宋体"/>
        <w:sz w:val="28"/>
        <w:szCs w:val="28"/>
      </w:rPr>
      <w:fldChar w:fldCharType="begin"/>
    </w:r>
    <w:r>
      <w:rPr>
        <w:rStyle w:val="8"/>
        <w:rFonts w:ascii="宋体" w:hAnsi="宋体"/>
        <w:sz w:val="28"/>
        <w:szCs w:val="28"/>
      </w:rPr>
      <w:instrText xml:space="preserve">PAGE  </w:instrText>
    </w:r>
    <w:r>
      <w:rPr>
        <w:rStyle w:val="8"/>
        <w:rFonts w:ascii="宋体" w:hAnsi="宋体"/>
        <w:sz w:val="28"/>
        <w:szCs w:val="28"/>
      </w:rPr>
      <w:fldChar w:fldCharType="separate"/>
    </w:r>
    <w:r>
      <w:rPr>
        <w:rStyle w:val="8"/>
        <w:rFonts w:ascii="宋体" w:hAnsi="宋体"/>
        <w:sz w:val="28"/>
        <w:szCs w:val="28"/>
      </w:rPr>
      <w:t>2</w:t>
    </w:r>
    <w:r>
      <w:rPr>
        <w:rStyle w:val="8"/>
        <w:rFonts w:ascii="宋体" w:hAnsi="宋体"/>
        <w:sz w:val="28"/>
        <w:szCs w:val="28"/>
      </w:rPr>
      <w:fldChar w:fldCharType="end"/>
    </w:r>
    <w:r>
      <w:rPr>
        <w:rStyle w:val="8"/>
        <w:rFonts w:ascii="宋体" w:hAnsi="宋体"/>
        <w:sz w:val="28"/>
        <w:szCs w:val="28"/>
      </w:rPr>
      <w:t xml:space="preserve"> </w:t>
    </w:r>
    <w:r>
      <w:rPr>
        <w:rStyle w:val="8"/>
        <w:rFonts w:hint="eastAsia" w:ascii="宋体" w:hAnsi="宋体"/>
        <w:sz w:val="28"/>
        <w:szCs w:val="28"/>
      </w:rPr>
      <w:t>—</w:t>
    </w:r>
  </w:p>
  <w:p>
    <w:pPr>
      <w:pStyle w:val="5"/>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4008"/>
    <w:rsid w:val="00024435"/>
    <w:rsid w:val="000267A3"/>
    <w:rsid w:val="00041D7B"/>
    <w:rsid w:val="00065B56"/>
    <w:rsid w:val="00070981"/>
    <w:rsid w:val="00077B85"/>
    <w:rsid w:val="000949FF"/>
    <w:rsid w:val="000A252A"/>
    <w:rsid w:val="000A2BBC"/>
    <w:rsid w:val="000C2964"/>
    <w:rsid w:val="000C657B"/>
    <w:rsid w:val="000D69B8"/>
    <w:rsid w:val="000E4A3F"/>
    <w:rsid w:val="000E7798"/>
    <w:rsid w:val="000F16F1"/>
    <w:rsid w:val="0010502F"/>
    <w:rsid w:val="00105408"/>
    <w:rsid w:val="00112225"/>
    <w:rsid w:val="00112701"/>
    <w:rsid w:val="00174BA6"/>
    <w:rsid w:val="001804F1"/>
    <w:rsid w:val="0018310A"/>
    <w:rsid w:val="00184108"/>
    <w:rsid w:val="0019417C"/>
    <w:rsid w:val="00195F78"/>
    <w:rsid w:val="001A7630"/>
    <w:rsid w:val="001B1224"/>
    <w:rsid w:val="001E29C9"/>
    <w:rsid w:val="00212A6C"/>
    <w:rsid w:val="00222423"/>
    <w:rsid w:val="0022516E"/>
    <w:rsid w:val="002335EB"/>
    <w:rsid w:val="002526D5"/>
    <w:rsid w:val="00283CD1"/>
    <w:rsid w:val="00291698"/>
    <w:rsid w:val="002974DC"/>
    <w:rsid w:val="002B1987"/>
    <w:rsid w:val="002E04AB"/>
    <w:rsid w:val="002E2FE8"/>
    <w:rsid w:val="002F765C"/>
    <w:rsid w:val="00302F63"/>
    <w:rsid w:val="003223F1"/>
    <w:rsid w:val="00334147"/>
    <w:rsid w:val="003458A4"/>
    <w:rsid w:val="00347FD2"/>
    <w:rsid w:val="00365E22"/>
    <w:rsid w:val="00371FA3"/>
    <w:rsid w:val="00372591"/>
    <w:rsid w:val="00375AA1"/>
    <w:rsid w:val="00380C89"/>
    <w:rsid w:val="003B54CD"/>
    <w:rsid w:val="003D0615"/>
    <w:rsid w:val="003E79EA"/>
    <w:rsid w:val="003F2882"/>
    <w:rsid w:val="003F713A"/>
    <w:rsid w:val="00412160"/>
    <w:rsid w:val="00434F2E"/>
    <w:rsid w:val="00460B45"/>
    <w:rsid w:val="00463C79"/>
    <w:rsid w:val="004737B6"/>
    <w:rsid w:val="0047551E"/>
    <w:rsid w:val="004B468C"/>
    <w:rsid w:val="004C4907"/>
    <w:rsid w:val="004F7125"/>
    <w:rsid w:val="004F7F14"/>
    <w:rsid w:val="00504897"/>
    <w:rsid w:val="00516159"/>
    <w:rsid w:val="0053167E"/>
    <w:rsid w:val="00534CB5"/>
    <w:rsid w:val="005416B6"/>
    <w:rsid w:val="005446D3"/>
    <w:rsid w:val="0054636D"/>
    <w:rsid w:val="00557E51"/>
    <w:rsid w:val="0056523F"/>
    <w:rsid w:val="00573550"/>
    <w:rsid w:val="0057614B"/>
    <w:rsid w:val="005F7541"/>
    <w:rsid w:val="005F7980"/>
    <w:rsid w:val="00613C8F"/>
    <w:rsid w:val="00617D25"/>
    <w:rsid w:val="0062335C"/>
    <w:rsid w:val="006605AA"/>
    <w:rsid w:val="006612F4"/>
    <w:rsid w:val="00672F94"/>
    <w:rsid w:val="006B7377"/>
    <w:rsid w:val="006C14A5"/>
    <w:rsid w:val="006C23D3"/>
    <w:rsid w:val="006C3926"/>
    <w:rsid w:val="006E5855"/>
    <w:rsid w:val="006F4008"/>
    <w:rsid w:val="0071122C"/>
    <w:rsid w:val="007225E1"/>
    <w:rsid w:val="0072285A"/>
    <w:rsid w:val="0073475F"/>
    <w:rsid w:val="00756DAC"/>
    <w:rsid w:val="00774086"/>
    <w:rsid w:val="00782F98"/>
    <w:rsid w:val="007C340B"/>
    <w:rsid w:val="007D313E"/>
    <w:rsid w:val="007F0E49"/>
    <w:rsid w:val="0080764C"/>
    <w:rsid w:val="00830EA1"/>
    <w:rsid w:val="00844350"/>
    <w:rsid w:val="008A31DF"/>
    <w:rsid w:val="008E2AF2"/>
    <w:rsid w:val="00905509"/>
    <w:rsid w:val="00910F21"/>
    <w:rsid w:val="009153BC"/>
    <w:rsid w:val="00971344"/>
    <w:rsid w:val="0097293C"/>
    <w:rsid w:val="0097532E"/>
    <w:rsid w:val="009D4AE5"/>
    <w:rsid w:val="009F53FD"/>
    <w:rsid w:val="00A14FD8"/>
    <w:rsid w:val="00A301B3"/>
    <w:rsid w:val="00A32BB9"/>
    <w:rsid w:val="00A4177A"/>
    <w:rsid w:val="00A5188B"/>
    <w:rsid w:val="00A61C7C"/>
    <w:rsid w:val="00A61FAE"/>
    <w:rsid w:val="00A65B77"/>
    <w:rsid w:val="00AB15BF"/>
    <w:rsid w:val="00AF26FE"/>
    <w:rsid w:val="00B02EB8"/>
    <w:rsid w:val="00B07621"/>
    <w:rsid w:val="00B07DBA"/>
    <w:rsid w:val="00B15F82"/>
    <w:rsid w:val="00B16DB4"/>
    <w:rsid w:val="00B3789A"/>
    <w:rsid w:val="00B47971"/>
    <w:rsid w:val="00B53028"/>
    <w:rsid w:val="00B82DDF"/>
    <w:rsid w:val="00B95859"/>
    <w:rsid w:val="00BA3C58"/>
    <w:rsid w:val="00BE0966"/>
    <w:rsid w:val="00BE2BA7"/>
    <w:rsid w:val="00BF2B7D"/>
    <w:rsid w:val="00C00114"/>
    <w:rsid w:val="00C12752"/>
    <w:rsid w:val="00C420A0"/>
    <w:rsid w:val="00C55158"/>
    <w:rsid w:val="00C63699"/>
    <w:rsid w:val="00C6713A"/>
    <w:rsid w:val="00C72E31"/>
    <w:rsid w:val="00D0798C"/>
    <w:rsid w:val="00D158F0"/>
    <w:rsid w:val="00D553A7"/>
    <w:rsid w:val="00D56C72"/>
    <w:rsid w:val="00D845C5"/>
    <w:rsid w:val="00D86E85"/>
    <w:rsid w:val="00DA767D"/>
    <w:rsid w:val="00E269BC"/>
    <w:rsid w:val="00E312CE"/>
    <w:rsid w:val="00E34FAA"/>
    <w:rsid w:val="00E973AF"/>
    <w:rsid w:val="00EB10E3"/>
    <w:rsid w:val="00EC1426"/>
    <w:rsid w:val="00EE35D7"/>
    <w:rsid w:val="00EF6240"/>
    <w:rsid w:val="00F35A10"/>
    <w:rsid w:val="00F53F03"/>
    <w:rsid w:val="00F55C83"/>
    <w:rsid w:val="00F81B77"/>
    <w:rsid w:val="00FB44ED"/>
    <w:rsid w:val="00FC3CE1"/>
    <w:rsid w:val="00FC7538"/>
    <w:rsid w:val="00FD4E7C"/>
    <w:rsid w:val="00FD55B5"/>
    <w:rsid w:val="00FE551E"/>
    <w:rsid w:val="00FE718C"/>
    <w:rsid w:val="3BA276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uiPriority w:val="0"/>
    <w:pPr>
      <w:jc w:val="center"/>
    </w:pPr>
    <w:rPr>
      <w:rFonts w:eastAsia="文星简小标宋"/>
      <w:sz w:val="44"/>
      <w:szCs w:val="20"/>
    </w:rPr>
  </w:style>
  <w:style w:type="paragraph" w:styleId="3">
    <w:name w:val="Body Text Indent"/>
    <w:basedOn w:val="1"/>
    <w:qFormat/>
    <w:uiPriority w:val="0"/>
    <w:pPr>
      <w:snapToGrid w:val="0"/>
      <w:spacing w:line="336" w:lineRule="auto"/>
      <w:ind w:firstLine="645"/>
    </w:pPr>
    <w:rPr>
      <w:rFonts w:ascii="仿宋_GB2312" w:eastAsia="仿宋_GB2312"/>
      <w:spacing w:val="-4"/>
      <w:sz w:val="32"/>
      <w:szCs w:val="20"/>
    </w:rPr>
  </w:style>
  <w:style w:type="paragraph" w:styleId="4">
    <w:name w:val="Date"/>
    <w:basedOn w:val="1"/>
    <w:next w:val="1"/>
    <w:uiPriority w:val="0"/>
    <w:rPr>
      <w:szCs w:val="20"/>
    </w:rPr>
  </w:style>
  <w:style w:type="paragraph" w:styleId="5">
    <w:name w:val="footer"/>
    <w:basedOn w:val="1"/>
    <w:uiPriority w:val="0"/>
    <w:pPr>
      <w:tabs>
        <w:tab w:val="center" w:pos="4153"/>
        <w:tab w:val="right" w:pos="8306"/>
      </w:tabs>
      <w:snapToGrid w:val="0"/>
      <w:jc w:val="left"/>
    </w:pPr>
    <w:rPr>
      <w:sz w:val="18"/>
      <w:szCs w:val="20"/>
    </w:rPr>
  </w:style>
  <w:style w:type="paragraph" w:styleId="6">
    <w:name w:val="header"/>
    <w:basedOn w:val="1"/>
    <w:qFormat/>
    <w:uiPriority w:val="0"/>
    <w:pPr>
      <w:pBdr>
        <w:bottom w:val="single" w:color="auto" w:sz="6" w:space="1"/>
      </w:pBdr>
      <w:tabs>
        <w:tab w:val="center" w:pos="4153"/>
        <w:tab w:val="right" w:pos="8306"/>
      </w:tabs>
      <w:snapToGrid w:val="0"/>
      <w:jc w:val="center"/>
    </w:pPr>
    <w:rPr>
      <w:rFonts w:eastAsia="仿宋_GB2312"/>
      <w:sz w:val="18"/>
      <w:szCs w:val="18"/>
    </w:rPr>
  </w:style>
  <w:style w:type="character" w:styleId="8">
    <w:name w:val="page number"/>
    <w:basedOn w:val="7"/>
    <w:uiPriority w:val="0"/>
  </w:style>
  <w:style w:type="table" w:styleId="10">
    <w:name w:val="Table Grid"/>
    <w:basedOn w:val="9"/>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1">
    <w:name w:val="标题 1 Char"/>
    <w:basedOn w:val="7"/>
    <w:qFormat/>
    <w:locked/>
    <w:uiPriority w:val="0"/>
    <w:rPr>
      <w:rFonts w:eastAsia="宋体"/>
      <w:b/>
      <w:bCs/>
      <w:kern w:val="44"/>
      <w:sz w:val="44"/>
      <w:szCs w:val="44"/>
      <w:lang w:val="en-US" w:eastAsia="zh-CN" w:bidi="ar-SA"/>
    </w:rPr>
  </w:style>
  <w:style w:type="paragraph" w:customStyle="1" w:styleId="12">
    <w:name w:val="Char Char Char Char"/>
    <w:basedOn w:val="1"/>
    <w:qFormat/>
    <w:uiPriority w:val="0"/>
    <w:pPr>
      <w:widowControl/>
      <w:spacing w:after="160" w:line="240" w:lineRule="exact"/>
      <w:jc w:val="left"/>
    </w:pPr>
    <w:rPr>
      <w:rFonts w:ascii="Verdana" w:hAnsi="Verdana"/>
      <w:kern w:val="0"/>
      <w:sz w:val="20"/>
      <w:szCs w:val="20"/>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B6C4DAB-36AE-4BC2-9485-8697D6913F32}">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12</Pages>
  <Words>653</Words>
  <Characters>3726</Characters>
  <Lines>31</Lines>
  <Paragraphs>8</Paragraphs>
  <TotalTime>0</TotalTime>
  <ScaleCrop>false</ScaleCrop>
  <LinksUpToDate>false</LinksUpToDate>
  <CharactersWithSpaces>4371</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2018-03-08T01:48:00Z</dcterms:created>
  <dc:creator>111</dc:creator>
  <cp:lastModifiedBy>xiexie</cp:lastModifiedBy>
  <cp:lastPrinted>2018-03-07T07:23:00Z</cp:lastPrinted>
  <dcterms:modified xsi:type="dcterms:W3CDTF">2018-03-08T01:56:52Z</dcterms:modified>
  <dc:title>温政办〔200〕号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